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附件10</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关于落实区委巡察二组对田里村巡察情况</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反馈意见整改进展情况的报告</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华文仿宋" w:eastAsia="方正小标宋简体" w:cs="方正小标宋简体"/>
          <w:kern w:val="2"/>
          <w:sz w:val="44"/>
          <w:szCs w:val="44"/>
        </w:rPr>
      </w:pPr>
      <w:r>
        <w:rPr>
          <w:rFonts w:hint="eastAsia" w:ascii="方正小标宋简体" w:hAnsi="华文仿宋"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根据区委巡察工作统一部署，2024年3月18日至5月31日，区委巡察二组对后龙镇田里村开展了巡察，并于2024年10月15日反馈了巡察意见，按照党务公开原则和巡察工</w:t>
      </w:r>
      <w:bookmarkStart w:id="0" w:name="_GoBack"/>
      <w:bookmarkEnd w:id="0"/>
      <w:r>
        <w:rPr>
          <w:rFonts w:hint="eastAsia" w:ascii="仿宋_GB2312" w:hAnsi="华文仿宋" w:eastAsia="仿宋_GB2312" w:cs="仿宋_GB2312"/>
          <w:color w:val="000000"/>
          <w:kern w:val="2"/>
          <w:sz w:val="32"/>
          <w:szCs w:val="32"/>
          <w:lang w:val="en-US" w:eastAsia="zh-CN" w:bidi="ar"/>
        </w:rPr>
        <w:t>作有关要求，现将巡察整改进展情况予以公布。</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（一）聚焦贯彻落实党的路线方针政策、党中央决策部署及省委、市委、区委工作要求方面</w:t>
      </w:r>
    </w:p>
    <w:p>
      <w:pPr>
        <w:pStyle w:val="5"/>
        <w:widowControl/>
        <w:spacing w:line="480" w:lineRule="exact"/>
        <w:ind w:left="0" w:firstLine="643" w:firstLineChars="200"/>
        <w:jc w:val="both"/>
        <w:rPr>
          <w:rFonts w:hint="eastAsia" w:ascii="楷体_GB2312" w:eastAsia="楷体_GB2312" w:cs="楷体_GB2312"/>
          <w:b/>
          <w:bCs/>
          <w:sz w:val="32"/>
          <w:szCs w:val="32"/>
        </w:rPr>
      </w:pPr>
      <w:r>
        <w:rPr>
          <w:rFonts w:hint="eastAsia" w:ascii="楷体_GB2312" w:eastAsia="楷体_GB2312" w:cs="楷体_GB2312"/>
          <w:b/>
          <w:bCs/>
          <w:sz w:val="32"/>
          <w:szCs w:val="32"/>
        </w:rPr>
        <w:t>1.关于社会治安防控不够完善的问题。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结合村庄实际情况，重新制定村级监控布局方案，确保监控设备能够全面覆盖村庄各个角落，不留盲区。目前村级监控设备已完成安装，并增加9路监控。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2.关于村集体资产失管漏管的问题。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（2）整改进展情况：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经核查，该地块已收回。田里村将定期组织《</w:t>
      </w:r>
      <w:r>
        <w:rPr>
          <w:rFonts w:hint="eastAsia" w:ascii="仿宋_GB2312" w:hAnsi="华文仿宋" w:eastAsia="仿宋_GB2312" w:cs="仿宋_GB2312"/>
          <w:color w:val="000000"/>
          <w:kern w:val="2"/>
          <w:sz w:val="32"/>
          <w:szCs w:val="32"/>
          <w:shd w:val="clear" w:fill="FFFFFF"/>
          <w:lang w:val="en-US" w:eastAsia="zh-CN" w:bidi="ar"/>
        </w:rPr>
        <w:t>中华人民共和国土地管理法</w:t>
      </w:r>
      <w:r>
        <w:rPr>
          <w:rFonts w:hint="eastAsia" w:ascii="仿宋_GB2312" w:hAnsi="华文仿宋" w:eastAsia="仿宋_GB2312" w:cs="仿宋_GB2312"/>
          <w:color w:val="000000"/>
          <w:kern w:val="2"/>
          <w:sz w:val="32"/>
          <w:szCs w:val="32"/>
          <w:lang w:val="en-US" w:eastAsia="zh-CN" w:bidi="ar"/>
        </w:rPr>
        <w:t>》等法规宣讲会，提升村民法律意识，同时持续做好村集体土地监管，强化日常巡查，保护土地资源，为乡村振兴提供可持续动力。</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1.关于财经制度执行不够严格的问题。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（3）针对现金管理不严格的问题。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经核查，库存现金余额2.23万元，其中代垫缴纳村民养老金161人计14550元、福建日报与泉州晚报的订报费用6524元，合计21074元无法报账，剩余1226元为实际库存现金。</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（4）针对款项支付不规范的问题。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由于该餐厅无对公账户，款项只能打到餐厅所有人个人账户内。萍鑫餐厅法人已出具代收款委托书，但因疫情影响，已倒闭多年，营业执照已注销。今后将加强财务管理、持续规范款项支付。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（5）针对个人借款长期未清理的问题。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18.63万元个人借款未清理为历史遗留问题，其中涉及田里村市场公厕项目的12万元已</w:t>
      </w:r>
      <w:r>
        <w:rPr>
          <w:rFonts w:hint="eastAsia" w:ascii="仿宋_GB2312" w:hAnsi="华文仿宋" w:eastAsia="仿宋_GB2312" w:cs="仿宋_GB2312"/>
          <w:color w:val="000000"/>
          <w:kern w:val="2"/>
          <w:sz w:val="32"/>
          <w:szCs w:val="32"/>
          <w:shd w:val="clear" w:fill="FFFFFF"/>
          <w:lang w:val="en-US" w:eastAsia="zh-CN" w:bidi="ar"/>
        </w:rPr>
        <w:t>理清</w:t>
      </w:r>
      <w:r>
        <w:rPr>
          <w:rFonts w:hint="eastAsia" w:ascii="仿宋_GB2312" w:hAnsi="华文仿宋" w:eastAsia="仿宋_GB2312" w:cs="仿宋_GB2312"/>
          <w:color w:val="000000"/>
          <w:kern w:val="2"/>
          <w:sz w:val="32"/>
          <w:szCs w:val="32"/>
          <w:lang w:val="en-US" w:eastAsia="zh-CN" w:bidi="ar"/>
        </w:rPr>
        <w:t>并提交材料至镇</w:t>
      </w:r>
      <w:r>
        <w:rPr>
          <w:rFonts w:hint="eastAsia" w:ascii="仿宋_GB2312" w:hAnsi="华文仿宋" w:eastAsia="仿宋_GB2312" w:cs="仿宋_GB2312"/>
          <w:color w:val="000000"/>
          <w:kern w:val="2"/>
          <w:sz w:val="32"/>
          <w:szCs w:val="32"/>
          <w:shd w:val="clear" w:fill="FFFFFF"/>
          <w:lang w:val="en-US" w:eastAsia="zh-CN" w:bidi="ar"/>
        </w:rPr>
        <w:t>核算</w:t>
      </w:r>
      <w:r>
        <w:rPr>
          <w:rFonts w:hint="eastAsia" w:ascii="仿宋_GB2312" w:hAnsi="华文仿宋" w:eastAsia="仿宋_GB2312" w:cs="仿宋_GB2312"/>
          <w:color w:val="000000"/>
          <w:kern w:val="2"/>
          <w:sz w:val="32"/>
          <w:szCs w:val="32"/>
          <w:lang w:val="en-US" w:eastAsia="zh-CN" w:bidi="ar"/>
        </w:rPr>
        <w:t>中心。其余款项大部分为原计划生育时期村干部代垫的社会抚养费借款，因年限已久、相关借款人已失联或过世，已无法理清。目前，已安排专人对相关账目进行整理，尽快予以核销。</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2.关于超范围发放补贴的问题。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default" w:ascii="华文仿宋" w:hAnsi="华文仿宋" w:eastAsia="仿宋_GB2312" w:cs="华文仿宋"/>
          <w:b/>
          <w:bCs/>
          <w:kern w:val="2"/>
          <w:sz w:val="32"/>
          <w:szCs w:val="32"/>
        </w:rPr>
      </w:pPr>
      <w:r>
        <w:rPr>
          <w:rFonts w:hint="eastAsia" w:ascii="仿宋_GB2312" w:hAnsi="华文仿宋" w:eastAsia="仿宋_GB2312" w:cs="仿宋_GB2312"/>
          <w:b/>
          <w:bCs/>
          <w:color w:val="000000"/>
          <w:kern w:val="2"/>
          <w:sz w:val="32"/>
          <w:szCs w:val="32"/>
          <w:lang w:val="en-US" w:eastAsia="zh-CN" w:bidi="ar"/>
        </w:rPr>
        <w:t>（6）整改进展情况：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田里村挂钩领导对田里村村委会主任、村委（原财务）进行批评教育。二是2020年12月冬至防火值班补贴多发放1700元、2021年11月误工补贴多发放1人300元已退还到村财账户。三是田里村疫情期间2022年7月发放的2022年3月疫情值班补贴22天5.72万元问题。根据《中共泉州市泉港区委组织部 泉州市泉港区人力资源和社会保障局 泉州市泉港区财政局关于落实疫情防控一线干部职工待遇保障的通知》（泉港人社〔2022〕72号），其中提到“对参加疫情防控的社区（村）‘两委’成员、社区（村）专职工作人员等一线城乡社区工作者，在落实好现有报酬保障政策基础上，根据疫情轻重、工作强度和节假日加班等因素，可给予每人每天不高于200元的工作补助”，田里村相关干部（13个）疫情期间均值班22天，每人发放4400元。田里村疫情期间有田里市场、柳山2个卡点及村部值班，干部隔天轮换卡点值班，均有在岗。现已找回田里市场防疫卡点值班表。四是我村严格按照《泉港区农村（社区）集体资金资产资源管理规定的通知》（泉港委改〔2019〕5号）文件规定，审核相关报账材料，持续规范资金拨付流程。</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3.关于履约保证金应收未收的问题。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（7）整改进展情况：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三个项目经核查，均有提交履约保函，现已附在账目中。</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1.关于党建基础工作不够扎实的问题。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（8）针对发展党员工作不规范的问题。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default" w:ascii="华文仿宋" w:hAnsi="华文仿宋" w:eastAsia="仿宋_GB2312" w:cs="华文仿宋"/>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田里村挂钩领导对田里村党支部组织委员进行提醒谈话。二是问题材料已跟组织办对接，完成档案更新。三是认真学习《中国共产党发展党员工作细则》，对发展党员工作的各个环节进行细致梳理，明确每一步骤的具体要求、操作方法和责任分工，指派专人与组织办对接，确保档案材料完整准确及工作的规范性和系统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（9）针对党费收缴不规范的问题。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该党员因发展程序不规范，已取消预备党员资格，未收取党费。</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（10）针对党小组设置不合理的问题。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针对党小组设置不合理的问题，原有2个党小组，现已整改成3个党小组，进一步提高党小组的组织力和凝聚力。</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2.关于党内政治生活不够严肃的问题。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（11）针对民主评议党员不扎实的问题。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一是由田里村挂钩领导对田里村党支部书记、组织委员进行提醒谈话。二是邀请镇党建办公室组</w:t>
      </w:r>
      <w:r>
        <w:rPr>
          <w:rFonts w:hint="eastAsia" w:ascii="仿宋_GB2312" w:hAnsi="华文仿宋" w:eastAsia="仿宋_GB2312" w:cs="仿宋_GB2312"/>
          <w:color w:val="000000"/>
          <w:kern w:val="2"/>
          <w:sz w:val="32"/>
          <w:szCs w:val="32"/>
          <w:shd w:val="clear" w:fill="FFFFFF"/>
          <w:lang w:val="en-US" w:eastAsia="zh-CN" w:bidi="ar"/>
        </w:rPr>
        <w:t>织</w:t>
      </w:r>
      <w:r>
        <w:rPr>
          <w:rFonts w:hint="eastAsia" w:ascii="仿宋_GB2312" w:hAnsi="华文仿宋" w:eastAsia="仿宋_GB2312" w:cs="仿宋_GB2312"/>
          <w:color w:val="000000"/>
          <w:kern w:val="2"/>
          <w:sz w:val="32"/>
          <w:szCs w:val="32"/>
          <w:lang w:val="en-US" w:eastAsia="zh-CN" w:bidi="ar"/>
        </w:rPr>
        <w:t>岗人员到村指导民主评议党员工作，安排专人负责组织党员评议事前征求程序，严格掌握标准，提出正确的组织意见，使评议党员过程成为对党员思想教育的过程，不断提高广大党员的思想素质。</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（12）针对“三会一课”制度落实不到位的问题。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巡察后，我村明确会议记录要素，包括但不限于时间、地点、参会人员、会议议题、讨论内容及决议等，确保会议记录的完整性和准确性，严格执行会议记录管理纪律，每次会议后，书记、组织委员、党小组长必须亲自审阅会议记录并签署姓名，以此强化责任意识，确保会议精神的准确传达与责任追溯。</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3.关于执行民主决策制度不够到位的问题。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（13）针对大额支出未经集体研究的问题。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田里村挂钩领导对田里村村委会主任进行批评教育。二是2020年11月支付交通设施安装款2.5498万元已上会，因工作人员疏忽未附村民代表会议记录，现已补录至会计账中。三是加强对会议纪要的审核与存档管理，确保会议纪要能够及时、准确地反映会议决策内容，并与财务报销材料紧密关联。</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（14）针对议事决策不充分的问题。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default" w:ascii="华文仿宋" w:hAnsi="华文仿宋" w:eastAsia="仿宋_GB2312" w:cs="华文仿宋"/>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2023年6月8日，村民代表大会共研究10个议题，全部通过村民代表逐项讨论表决，但会议记录不够规范。巡察后，我村持续优化会议记录，将逐项讨论过程一一记录，进一步体现议事决策。</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根据巡察反馈意见，对有关责任人员进行处理。截至目前，针对巡察反馈问题，给予批评教育2人，提醒谈话2人。</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华文仿宋" w:hAnsi="华文仿宋" w:eastAsia="黑体" w:cs="黑体"/>
          <w:kern w:val="2"/>
          <w:sz w:val="32"/>
          <w:szCs w:val="32"/>
        </w:rPr>
      </w:pPr>
      <w:r>
        <w:rPr>
          <w:rFonts w:hint="eastAsia" w:ascii="黑体" w:hAnsi="宋体" w:eastAsia="黑体" w:cs="黑体"/>
          <w:color w:val="000000"/>
          <w:kern w:val="2"/>
          <w:sz w:val="32"/>
          <w:szCs w:val="32"/>
          <w:lang w:val="en-US" w:eastAsia="zh-CN" w:bidi="ar"/>
        </w:rPr>
        <w:t>三、需要进一步整改的事项及措施</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（一）</w:t>
      </w:r>
      <w:r>
        <w:rPr>
          <w:rFonts w:hint="eastAsia" w:ascii="楷体_GB2312" w:hAnsi="楷体" w:eastAsia="楷体_GB2312" w:cs="楷体_GB2312"/>
          <w:b/>
          <w:bCs/>
          <w:color w:val="000000"/>
          <w:kern w:val="0"/>
          <w:sz w:val="32"/>
          <w:szCs w:val="32"/>
          <w:lang w:val="en-US" w:eastAsia="zh-CN" w:bidi="ar"/>
        </w:rPr>
        <w:t>关于现金管理不严格</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0"/>
          <w:sz w:val="32"/>
          <w:szCs w:val="32"/>
          <w:lang w:val="en-US" w:eastAsia="zh-CN" w:bidi="ar"/>
        </w:rPr>
        <w:t>为白条抵库的历史欠款，</w:t>
      </w:r>
      <w:r>
        <w:rPr>
          <w:rFonts w:hint="eastAsia" w:ascii="仿宋_GB2312" w:hAnsi="华文仿宋" w:eastAsia="仿宋_GB2312" w:cs="仿宋_GB2312"/>
          <w:color w:val="000000"/>
          <w:kern w:val="2"/>
          <w:sz w:val="32"/>
          <w:szCs w:val="32"/>
          <w:lang w:val="en-US" w:eastAsia="zh-CN" w:bidi="ar"/>
        </w:rPr>
        <w:t>因历史久远，部分当事人已离世，导致相关资金往来无法梳理。</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库存现金催缴计划，确保催缴行动得到切实执行，不流于形式。同时，遵循《泉港区农村（社区）集体资金资产资源管理规定的通知》（泉港委改〔2019〕5号）及其他相关文件的指导精神，加大监管力度，积极加强村集体库存现金管理工作，以维护集体资产的安全与完整。</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（二）</w:t>
      </w:r>
      <w:r>
        <w:rPr>
          <w:rFonts w:hint="eastAsia" w:ascii="楷体_GB2312" w:hAnsi="楷体" w:eastAsia="楷体_GB2312" w:cs="楷体_GB2312"/>
          <w:b/>
          <w:bCs/>
          <w:color w:val="000000"/>
          <w:kern w:val="0"/>
          <w:sz w:val="32"/>
          <w:szCs w:val="32"/>
          <w:lang w:val="en-US" w:eastAsia="zh-CN" w:bidi="ar"/>
        </w:rPr>
        <w:t>关于个人借款长期未清理</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2"/>
          <w:sz w:val="32"/>
          <w:szCs w:val="32"/>
          <w:lang w:val="en-US" w:eastAsia="zh-CN" w:bidi="ar"/>
        </w:rPr>
        <w:t>1.因历史久远，部分当事人已离世，导致个人欠款长期未能得到清理；2.村集体先行垫付社会抚养费，但群众对此持拒绝缴纳的态度；3.涉及工程借款，工程已竣工，但施工单位无法提供必要的票据以完成核销流程；4.村干部因公务需借款，但未能及时提交合理有效票据进行核销。部分村干部已经离世，部分因年迈无法清晰回忆并说明款项的具体用途。</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催缴计划，确保催缴行动得到切实执行，不流于形式。同时，遵循《泉港区农村（社区）集体资金资产资源管理规定的通知》（泉港委改〔2019〕5号）及其他相关文件的指导精神，加大监管力度，积极加强村集体债权的追收工作，以维护集体资产的安全与完整。</w:t>
      </w:r>
    </w:p>
    <w:p>
      <w:pPr>
        <w:keepNext w:val="0"/>
        <w:keepLines w:val="0"/>
        <w:widowControl w:val="0"/>
        <w:suppressLineNumbers w:val="0"/>
        <w:spacing w:before="0" w:beforeAutospacing="0" w:after="0" w:afterAutospacing="0" w:line="600" w:lineRule="exact"/>
        <w:ind w:left="0" w:right="0" w:firstLine="643" w:firstLineChars="200"/>
        <w:jc w:val="both"/>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HiddenHorzOC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2680B"/>
    <w:rsid w:val="11A2680B"/>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uiPriority w:val="0"/>
    <w:pPr>
      <w:widowControl/>
      <w:spacing w:before="75" w:after="75" w:line="495" w:lineRule="atLeast"/>
      <w:jc w:val="left"/>
    </w:pPr>
    <w:rPr>
      <w:rFonts w:hint="eastAsia" w:ascii="宋体" w:hAnsi="宋体" w:eastAsia="宋体" w:cs="宋体"/>
      <w:color w:val="auto"/>
      <w:kern w:val="0"/>
      <w:sz w:val="36"/>
      <w:szCs w:val="36"/>
    </w:rPr>
  </w:style>
  <w:style w:type="paragraph" w:customStyle="1" w:styleId="5">
    <w:name w:val="Default"/>
    <w:basedOn w:val="1"/>
    <w:uiPriority w:val="0"/>
    <w:pPr>
      <w:keepNext w:val="0"/>
      <w:keepLines w:val="0"/>
      <w:widowControl w:val="0"/>
      <w:suppressLineNumbers w:val="0"/>
      <w:autoSpaceDE w:val="0"/>
      <w:autoSpaceDN w:val="0"/>
      <w:adjustRightInd w:val="0"/>
      <w:spacing w:before="0" w:beforeAutospacing="0" w:after="0" w:afterAutospacing="0" w:line="240" w:lineRule="auto"/>
      <w:ind w:left="0" w:right="0" w:firstLine="0" w:firstLineChars="0"/>
      <w:jc w:val="left"/>
    </w:pPr>
    <w:rPr>
      <w:rFonts w:hint="default" w:ascii="HiddenHorzOCl" w:hAnsi="HiddenHorzOCl" w:eastAsia="HiddenHorzOCl" w:cs="HiddenHorzOCl"/>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2025-03-05T09:05:00Z</dcterms:created>
  <dc:creator>qzwb</dc:creator>
  <cp:lastModifiedBy>qzwb</cp:lastModifiedBy>
  <dcterms:modified xsi:type="dcterms:W3CDTF">2025-03-05T09:06:31Z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C6B5FC6B5554407F93513B8E71C14DCE</vt:lpwstr>
  </property>
</Properties>
</file>