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8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附件13</w:t>
      </w:r>
    </w:p>
    <w:p>
      <w:pPr>
        <w:keepNext w:val="0"/>
        <w:keepLines w:val="0"/>
        <w:widowControl w:val="0"/>
        <w:suppressLineNumbers w:val="0"/>
        <w:spacing w:before="0" w:beforeAutospacing="0" w:after="0" w:afterAutospacing="0" w:line="48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关于落实区委巡察二组</w:t>
      </w:r>
      <w:r>
        <w:rPr>
          <w:rFonts w:hint="eastAsia" w:ascii="方正小标宋简体" w:hAnsi="方正小标宋简体" w:eastAsia="方正小标宋简体" w:cs="方正小标宋简体"/>
          <w:color w:val="000000"/>
          <w:kern w:val="2"/>
          <w:sz w:val="44"/>
          <w:szCs w:val="44"/>
          <w:shd w:val="clear" w:fill="FFFFFF"/>
          <w:lang w:val="en-US" w:eastAsia="zh-CN" w:bidi="ar"/>
        </w:rPr>
        <w:t>对柳</w:t>
      </w:r>
      <w:r>
        <w:rPr>
          <w:rFonts w:hint="eastAsia" w:ascii="方正小标宋简体" w:hAnsi="方正小标宋简体" w:eastAsia="方正小标宋简体" w:cs="方正小标宋简体"/>
          <w:color w:val="000000"/>
          <w:kern w:val="2"/>
          <w:sz w:val="44"/>
          <w:szCs w:val="44"/>
          <w:lang w:val="en-US" w:eastAsia="zh-CN" w:bidi="ar"/>
        </w:rPr>
        <w:t>亭村巡察情况</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反馈意见整改进展情况的报告</w:t>
      </w:r>
    </w:p>
    <w:p>
      <w:pPr>
        <w:keepNext w:val="0"/>
        <w:keepLines w:val="0"/>
        <w:widowControl w:val="0"/>
        <w:suppressLineNumbers w:val="0"/>
        <w:spacing w:before="0" w:beforeAutospacing="0" w:after="0" w:afterAutospacing="0" w:line="480" w:lineRule="exact"/>
        <w:ind w:left="0" w:right="0" w:firstLine="0" w:firstLineChars="0"/>
        <w:jc w:val="both"/>
        <w:rPr>
          <w:rFonts w:hint="eastAsia" w:ascii="方正小标宋简体" w:hAnsi="华文仿宋" w:eastAsia="方正小标宋简体" w:cs="方正小标宋简体"/>
          <w:kern w:val="2"/>
          <w:sz w:val="44"/>
          <w:szCs w:val="44"/>
        </w:rPr>
      </w:pPr>
      <w:r>
        <w:rPr>
          <w:rFonts w:hint="eastAsia" w:ascii="方正小标宋简体" w:hAnsi="华文仿宋" w:eastAsia="方正小标宋简体" w:cs="方正小标宋简体"/>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华文仿宋" w:cs="华文仿宋"/>
          <w:color w:val="000000"/>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根据区委巡察工作统一部署，2024年3月18日至5月31日，区委巡察二组对后龙镇柳亭村开展了巡察，并于2024年10月15日反馈了巡察意见，按照党务公开原则和巡察工作有关要求，现将巡察整改进展情况予以公布。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一、巡察反馈问题的整改进展情况</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（一）聚焦贯彻落实党的路线方针政策、党中央决策部</w:t>
      </w:r>
      <w:bookmarkStart w:id="0" w:name="_GoBack"/>
      <w:bookmarkEnd w:id="0"/>
      <w:r>
        <w:rPr>
          <w:rFonts w:hint="eastAsia" w:ascii="宋体" w:hAnsi="宋体" w:eastAsia="宋体" w:cs="宋体"/>
          <w:b/>
          <w:bCs/>
          <w:color w:val="000000"/>
          <w:kern w:val="2"/>
          <w:sz w:val="32"/>
          <w:szCs w:val="32"/>
          <w:lang w:val="en-US" w:eastAsia="zh-CN" w:bidi="ar"/>
        </w:rPr>
        <w:t>署及省委、市委、区委工作要求方面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1.关于村集体经营性收入较低的问题。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2024年，我村村集体经营性收入为：1.房产租赁收入5.13万元；2.光伏发电售电收入0.63万元；3.年货节销售收入2.8万元；4.无物业小区劳务承包收入16</w:t>
      </w:r>
      <w:r>
        <w:rPr>
          <w:rFonts w:hint="eastAsia" w:ascii="仿宋_GB2312" w:hAnsi="华文仿宋" w:eastAsia="仿宋_GB2312" w:cs="仿宋_GB2312"/>
          <w:color w:val="000000"/>
          <w:kern w:val="2"/>
          <w:sz w:val="32"/>
          <w:szCs w:val="32"/>
          <w:shd w:val="clear" w:fill="FFFFFF"/>
          <w:lang w:val="en-US" w:eastAsia="zh-CN" w:bidi="ar"/>
        </w:rPr>
        <w:t>万元</w:t>
      </w:r>
      <w:r>
        <w:rPr>
          <w:rFonts w:hint="eastAsia" w:ascii="仿宋_GB2312" w:hAnsi="华文仿宋" w:eastAsia="仿宋_GB2312" w:cs="仿宋_GB2312"/>
          <w:color w:val="000000"/>
          <w:kern w:val="2"/>
          <w:sz w:val="32"/>
          <w:szCs w:val="32"/>
          <w:lang w:val="en-US" w:eastAsia="zh-CN" w:bidi="ar"/>
        </w:rPr>
        <w:t>；5.村级卫生服务收入3.12万元；6.银行定存利息收入1.19万元；7.投资美佳园物业公司项目收益2.7</w:t>
      </w:r>
      <w:r>
        <w:rPr>
          <w:rFonts w:hint="eastAsia" w:ascii="仿宋_GB2312" w:hAnsi="华文仿宋" w:eastAsia="仿宋_GB2312" w:cs="仿宋_GB2312"/>
          <w:color w:val="000000"/>
          <w:kern w:val="2"/>
          <w:sz w:val="32"/>
          <w:szCs w:val="32"/>
          <w:shd w:val="clear" w:fill="FFFFFF"/>
          <w:lang w:val="en-US" w:eastAsia="zh-CN" w:bidi="ar"/>
        </w:rPr>
        <w:t>万元</w:t>
      </w:r>
      <w:r>
        <w:rPr>
          <w:rFonts w:hint="eastAsia" w:ascii="仿宋_GB2312" w:hAnsi="华文仿宋" w:eastAsia="仿宋_GB2312" w:cs="仿宋_GB2312"/>
          <w:color w:val="000000"/>
          <w:kern w:val="2"/>
          <w:sz w:val="32"/>
          <w:szCs w:val="32"/>
          <w:lang w:val="en-US" w:eastAsia="zh-CN" w:bidi="ar"/>
        </w:rPr>
        <w:t>，上述总计31.57万元，同比增加50.26%，总排名进3位。</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2.关于区域养老服务建设“重设施轻服务”的问题。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（2）整改进展情况：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一是在摸排中，柳亭村暂未发现需入住居家养老服务站的对象。二是持续摸排老年人实际需求，对服务站内的设施设备进行更新和完善，提供多样化的服务内容。</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3.关于人居环境整治成效不明显的问题。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（3）整改进展情况：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一是柳亭村挂钩领导已</w:t>
      </w:r>
      <w:r>
        <w:rPr>
          <w:rFonts w:hint="eastAsia" w:ascii="仿宋_GB2312" w:hAnsi="华文仿宋" w:eastAsia="仿宋_GB2312" w:cs="仿宋_GB2312"/>
          <w:color w:val="000000"/>
          <w:kern w:val="2"/>
          <w:sz w:val="32"/>
          <w:szCs w:val="32"/>
          <w:shd w:val="clear" w:fill="FFFFFF"/>
          <w:lang w:val="en-US" w:eastAsia="zh-CN" w:bidi="ar"/>
        </w:rPr>
        <w:t>对柳</w:t>
      </w:r>
      <w:r>
        <w:rPr>
          <w:rFonts w:hint="eastAsia" w:ascii="仿宋_GB2312" w:hAnsi="华文仿宋" w:eastAsia="仿宋_GB2312" w:cs="仿宋_GB2312"/>
          <w:color w:val="000000"/>
          <w:kern w:val="2"/>
          <w:sz w:val="32"/>
          <w:szCs w:val="32"/>
          <w:lang w:val="en-US" w:eastAsia="zh-CN" w:bidi="ar"/>
        </w:rPr>
        <w:t>亭村村委会主任、卫生分管进行批评教育。二是已完成对后柳自然村内剩余的10</w:t>
      </w:r>
      <w:r>
        <w:rPr>
          <w:rFonts w:hint="eastAsia" w:ascii="仿宋_GB2312" w:hAnsi="华文仿宋" w:eastAsia="仿宋_GB2312" w:cs="仿宋_GB2312"/>
          <w:color w:val="000000"/>
          <w:kern w:val="2"/>
          <w:sz w:val="32"/>
          <w:szCs w:val="32"/>
          <w:shd w:val="clear" w:fill="FFFFFF"/>
          <w:lang w:val="en-US" w:eastAsia="zh-CN" w:bidi="ar"/>
        </w:rPr>
        <w:t>个</w:t>
      </w:r>
      <w:r>
        <w:rPr>
          <w:rFonts w:hint="eastAsia" w:ascii="仿宋_GB2312" w:hAnsi="华文仿宋" w:eastAsia="仿宋_GB2312" w:cs="仿宋_GB2312"/>
          <w:color w:val="000000"/>
          <w:kern w:val="2"/>
          <w:sz w:val="32"/>
          <w:szCs w:val="32"/>
          <w:lang w:val="en-US" w:eastAsia="zh-CN" w:bidi="ar"/>
        </w:rPr>
        <w:t>旱厕拆除，近3个月美丽乡村考评成绩均在良好以上。三是增加后柳自然村的道路清扫和垃圾收集频次，确保村内道路干净整洁，无垃圾堆积现象。加强垃圾分类宣传和培训，引导村民正确分类投放垃圾，提高垃圾分类准确率。</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1.关于财经制度执行不严的问题。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（4）针对现金管理不严格的问题。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已安排专人理清上述款项材料，尽快予以核销。</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（5）针对个人借款长期未清理的问题。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color w:val="000000"/>
          <w:kern w:val="2"/>
          <w:sz w:val="32"/>
          <w:szCs w:val="32"/>
          <w:lang w:val="en-US" w:eastAsia="zh-CN" w:bidi="ar"/>
        </w:rPr>
        <w:t>未</w:t>
      </w:r>
      <w:r>
        <w:rPr>
          <w:rFonts w:hint="eastAsia" w:ascii="仿宋_GB2312" w:hAnsi="华文仿宋" w:eastAsia="仿宋_GB2312" w:cs="仿宋_GB2312"/>
          <w:bCs/>
          <w:color w:val="000000"/>
          <w:kern w:val="2"/>
          <w:sz w:val="32"/>
          <w:szCs w:val="32"/>
          <w:lang w:val="en-US" w:eastAsia="zh-CN" w:bidi="ar"/>
        </w:rPr>
        <w:t>完成。</w:t>
      </w:r>
      <w:r>
        <w:rPr>
          <w:rFonts w:hint="eastAsia" w:ascii="仿宋_GB2312" w:hAnsi="华文仿宋" w:eastAsia="仿宋_GB2312" w:cs="仿宋_GB2312"/>
          <w:color w:val="000000"/>
          <w:kern w:val="2"/>
          <w:sz w:val="32"/>
          <w:szCs w:val="32"/>
          <w:lang w:val="en-US" w:eastAsia="zh-CN" w:bidi="ar"/>
        </w:rPr>
        <w:t>经核查，主要涉及一事一议工程项目借款，现已通知承建单位提供工程报账材料，尽快予以核销。</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（6）针对固定资产管理不到位的问题。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已完成2022年柳亭村党群服务中心大厅更换下来的2台办公电脑报废登记造册。</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（7）针对报销手续不规范的问题。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严格按照《泉港区农村（社区）集体资金资产资源管理规定的通知》（泉港委改〔2019〕5号）等文件规定，对报销手续进行全面规范，确保每一笔报销都附有完整、真实的凭证和票据，确保报销流程的合法性与合规性。已从档案室找到镇级冬至防火文件、值班表、垃圾运输票据，相关报销及佐证材料已归档至会计账上。</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（8）针对物资管理不严格的问题。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综治三率宣传活动现场涉及普法、安全生产、义诊、便民服务等多种项目，吸引了大量群众参与，且大多数参与群众为老年人，导致当时未能及时完成物品签领单的填写。二是已完善领用管理制度，并建立领用台账，确保每次宣传活动的物品发放都有完整的领取记录，以加强物资管理和使用效果。</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（9）针对违规报销滞纳金的问题。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因疫情封控，供电所相关工作人员未上班，缴费通知单未进行及时送达，导致电费未能及时缴纳，产生电费滞纳金，非我村工作人员失误。二是通过设定日历自动提醒，主动对接联系，确保电费在规定的缴费期内完成缴纳，从根本上杜绝滞纳金产生的可能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2.关于项目管理不规范，工程监管不到位的问题。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（10）针对服务外包业务管理不规范的问题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巡察后，我村严格按照《泉港区农村（社区）集体资金资产资源管理规定的通知》（泉港委改〔2019〕5号）文件规定，对资金拨付流程进行规范，在付款前对保洁服务内容进行全面、细致的考核，并根据考核结果拨付相关资金。</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（11）针对履约金制度执行不严格的问题。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一是后柳村道建设工程合同签订时有履约保函作为担保方式，无需缴交履约保证金。要求今后在工程款拨付审核过程中，需将履约保证金入账凭证或履约</w:t>
      </w:r>
      <w:r>
        <w:rPr>
          <w:rFonts w:hint="eastAsia" w:ascii="仿宋_GB2312" w:hAnsi="华文仿宋" w:eastAsia="仿宋_GB2312" w:cs="仿宋_GB2312"/>
          <w:color w:val="000000"/>
          <w:kern w:val="2"/>
          <w:sz w:val="32"/>
          <w:szCs w:val="32"/>
          <w:shd w:val="clear" w:fill="FFFFFF"/>
          <w:lang w:val="en-US" w:eastAsia="zh-CN" w:bidi="ar"/>
        </w:rPr>
        <w:t>保</w:t>
      </w:r>
      <w:r>
        <w:rPr>
          <w:rFonts w:hint="eastAsia" w:ascii="仿宋_GB2312" w:hAnsi="华文仿宋" w:eastAsia="仿宋_GB2312" w:cs="仿宋_GB2312"/>
          <w:color w:val="000000"/>
          <w:kern w:val="2"/>
          <w:sz w:val="32"/>
          <w:szCs w:val="32"/>
          <w:lang w:val="en-US" w:eastAsia="zh-CN" w:bidi="ar"/>
        </w:rPr>
        <w:t>函的复印件作为必备材料，附于报账材料之中，以此作为施工单位履行合约保证行为的明确体现。二是开展自查自纠工作，检查项目中履约保证金收取与退还情况，近年来，我村未出现工程未完工就提前退还履约保证金的情况。</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3.关于“四风”问题仍旧存在的问题。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（12）整改进展情况：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一是柳亭村挂钩领导已</w:t>
      </w:r>
      <w:r>
        <w:rPr>
          <w:rFonts w:hint="eastAsia" w:ascii="仿宋_GB2312" w:hAnsi="华文仿宋" w:eastAsia="仿宋_GB2312" w:cs="仿宋_GB2312"/>
          <w:color w:val="000000"/>
          <w:kern w:val="2"/>
          <w:sz w:val="32"/>
          <w:szCs w:val="32"/>
          <w:shd w:val="clear" w:fill="FFFFFF"/>
          <w:lang w:val="en-US" w:eastAsia="zh-CN" w:bidi="ar"/>
        </w:rPr>
        <w:t>对柳</w:t>
      </w:r>
      <w:r>
        <w:rPr>
          <w:rFonts w:hint="eastAsia" w:ascii="仿宋_GB2312" w:hAnsi="华文仿宋" w:eastAsia="仿宋_GB2312" w:cs="仿宋_GB2312"/>
          <w:color w:val="000000"/>
          <w:kern w:val="2"/>
          <w:sz w:val="32"/>
          <w:szCs w:val="32"/>
          <w:lang w:val="en-US" w:eastAsia="zh-CN" w:bidi="ar"/>
        </w:rPr>
        <w:t>亭村村委会主任进行批评教育。二是制定严格的财务管理制度和福利待遇规定，明确各项补贴的发放标准和程序。已追回违规发放离任村主干补贴共计10800元。</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4.关于采购电脑虚假询价的问题。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（13）整改进展情况：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采购电脑时，商家无本村实际所需的电脑，故以类似配置性能的电脑进行报价，最终我村以实际需要进行采购。二是建立严格的报价审核机制，确保报价单的准确性和真实性，加强对供应商的管理和评估，选择信誉良好、价格合理的供应商进行合作。</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1.关于党建基础工作不够扎实的问题。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（14）针对发展党员材料不规范的问题。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一是柳亭村挂钩领导已</w:t>
      </w:r>
      <w:r>
        <w:rPr>
          <w:rFonts w:hint="eastAsia" w:ascii="仿宋_GB2312" w:hAnsi="华文仿宋" w:eastAsia="仿宋_GB2312" w:cs="仿宋_GB2312"/>
          <w:color w:val="000000"/>
          <w:kern w:val="2"/>
          <w:sz w:val="32"/>
          <w:szCs w:val="32"/>
          <w:shd w:val="clear" w:fill="FFFFFF"/>
          <w:lang w:val="en-US" w:eastAsia="zh-CN" w:bidi="ar"/>
        </w:rPr>
        <w:t>对柳</w:t>
      </w:r>
      <w:r>
        <w:rPr>
          <w:rFonts w:hint="eastAsia" w:ascii="仿宋_GB2312" w:hAnsi="华文仿宋" w:eastAsia="仿宋_GB2312" w:cs="仿宋_GB2312"/>
          <w:color w:val="000000"/>
          <w:kern w:val="2"/>
          <w:sz w:val="32"/>
          <w:szCs w:val="32"/>
          <w:lang w:val="en-US" w:eastAsia="zh-CN" w:bidi="ar"/>
        </w:rPr>
        <w:t>亭村党支部组织委员进行提醒谈话。二是安排专人负责党员发展工作，并严格按照发展党员规范流程，对现有的党员档案材料进行全面梳理和审核，确保所有党员档案材料都符合规范要求，信息准确完整。</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（15）针对主题党日活动制度落实不到位的问题。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已组织学习活动，重点学习党建基础工作相关政策和流程，确保规定动作按时、按质、按量完成。</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2.关于“三会一课”制度落实不到位的问题。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（16）整改进展情况：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一是柳亭村挂钩领导已</w:t>
      </w:r>
      <w:r>
        <w:rPr>
          <w:rFonts w:hint="eastAsia" w:ascii="仿宋_GB2312" w:hAnsi="华文仿宋" w:eastAsia="仿宋_GB2312" w:cs="仿宋_GB2312"/>
          <w:color w:val="000000"/>
          <w:kern w:val="2"/>
          <w:sz w:val="32"/>
          <w:szCs w:val="32"/>
          <w:shd w:val="clear" w:fill="FFFFFF"/>
          <w:lang w:val="en-US" w:eastAsia="zh-CN" w:bidi="ar"/>
        </w:rPr>
        <w:t>对柳</w:t>
      </w:r>
      <w:r>
        <w:rPr>
          <w:rFonts w:hint="eastAsia" w:ascii="仿宋_GB2312" w:hAnsi="华文仿宋" w:eastAsia="仿宋_GB2312" w:cs="仿宋_GB2312"/>
          <w:color w:val="000000"/>
          <w:kern w:val="2"/>
          <w:sz w:val="32"/>
          <w:szCs w:val="32"/>
          <w:lang w:val="en-US" w:eastAsia="zh-CN" w:bidi="ar"/>
        </w:rPr>
        <w:t>亭村党支部书记、组织委员进行提醒谈话。二是党务人员通过阅读相关文件、参加线上培训等方式，不断加深对“三会一课”、发展党员等制度的理解和执行能力。三是要求所有会议记录全面、准确、真实，包括会议时间、地点、参会人员、会议议题、讨论过程、决议事项等关键要素。</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3.关于议事决策不充分的问题。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（17）整改进展情况：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我村有严格按照村民议事规则召开村民代表大会和党员代表大会等会议，但与会代表未发表相关意见，故无记录。二是安排专人负责村民代表大会会议记录工作，确保记录内容全面、准确、及时，真实反映会议讨论过程和与会人员意见。</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黑体" w:cs="黑体"/>
          <w:kern w:val="2"/>
          <w:sz w:val="32"/>
          <w:szCs w:val="32"/>
        </w:rPr>
      </w:pPr>
      <w:r>
        <w:rPr>
          <w:rFonts w:hint="eastAsia" w:ascii="黑体" w:hAnsi="宋体" w:eastAsia="黑体" w:cs="黑体"/>
          <w:color w:val="000000"/>
          <w:kern w:val="2"/>
          <w:sz w:val="32"/>
          <w:szCs w:val="32"/>
          <w:lang w:val="en-US" w:eastAsia="zh-CN" w:bidi="ar"/>
        </w:rPr>
        <w:t>二、巡察反馈问题的处理情况</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color w:val="000000"/>
          <w:kern w:val="2"/>
          <w:sz w:val="32"/>
          <w:szCs w:val="32"/>
          <w:lang w:val="en-US" w:eastAsia="zh-CN" w:bidi="ar"/>
        </w:rPr>
        <w:t>根据巡察反馈意见，对有关责任人员进行处理。截至目前，针对巡察反馈问题，给予批评教育2人，提醒谈话1人。</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华文仿宋" w:hAnsi="华文仿宋" w:eastAsia="黑体" w:cs="黑体"/>
          <w:kern w:val="2"/>
          <w:sz w:val="32"/>
          <w:szCs w:val="32"/>
        </w:rPr>
      </w:pPr>
      <w:r>
        <w:rPr>
          <w:rFonts w:hint="eastAsia" w:ascii="黑体" w:hAnsi="宋体" w:eastAsia="黑体" w:cs="黑体"/>
          <w:color w:val="000000"/>
          <w:kern w:val="2"/>
          <w:sz w:val="32"/>
          <w:szCs w:val="32"/>
          <w:lang w:val="en-US" w:eastAsia="zh-CN" w:bidi="ar"/>
        </w:rPr>
        <w:t>三、需要进一步整改的事项及措施</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（一）</w:t>
      </w:r>
      <w:r>
        <w:rPr>
          <w:rFonts w:hint="eastAsia" w:ascii="楷体_GB2312" w:hAnsi="楷体" w:eastAsia="楷体_GB2312" w:cs="楷体_GB2312"/>
          <w:b/>
          <w:bCs/>
          <w:color w:val="000000"/>
          <w:kern w:val="0"/>
          <w:sz w:val="32"/>
          <w:szCs w:val="32"/>
          <w:lang w:val="en-US" w:eastAsia="zh-CN" w:bidi="ar"/>
        </w:rPr>
        <w:t>关于现金管理不严格</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0"/>
          <w:sz w:val="32"/>
          <w:szCs w:val="32"/>
          <w:lang w:val="en-US" w:eastAsia="zh-CN" w:bidi="ar"/>
        </w:rPr>
        <w:t>为白条抵库的历史欠款，</w:t>
      </w:r>
      <w:r>
        <w:rPr>
          <w:rFonts w:hint="eastAsia" w:ascii="仿宋_GB2312" w:hAnsi="华文仿宋" w:eastAsia="仿宋_GB2312" w:cs="仿宋_GB2312"/>
          <w:color w:val="000000"/>
          <w:kern w:val="2"/>
          <w:sz w:val="32"/>
          <w:szCs w:val="32"/>
          <w:lang w:val="en-US" w:eastAsia="zh-CN" w:bidi="ar"/>
        </w:rPr>
        <w:t>因历史久远，部分当事人已离世，导致相关资金往来无法梳理。</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全面梳理相关情况，并据此制定详尽的库存现金催缴计划，确保催缴行动得到切实执行，不流于形式。同时，遵循《泉港区农村（社区）集体资金资产资源管理规定的通知》（泉港委改〔2019〕5号）及其他相关文件的指导精神，加大监管力度，积极加强村集体库存现金管理工作，以维护集体资产的安全与完整。</w:t>
      </w:r>
    </w:p>
    <w:p>
      <w:pPr>
        <w:keepNext w:val="0"/>
        <w:keepLines w:val="0"/>
        <w:widowControl/>
        <w:suppressLineNumbers w:val="0"/>
        <w:spacing w:before="0" w:beforeAutospacing="0" w:after="0" w:afterAutospacing="0" w:line="480" w:lineRule="exact"/>
        <w:ind w:left="0" w:right="0" w:firstLine="643"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pPr>
        <w:keepNext w:val="0"/>
        <w:keepLines w:val="0"/>
        <w:widowControl/>
        <w:suppressLineNumbers w:val="0"/>
        <w:spacing w:before="0" w:beforeAutospacing="0" w:after="0" w:afterAutospacing="0" w:line="480" w:lineRule="exact"/>
        <w:ind w:left="0" w:right="0" w:firstLine="643" w:firstLineChars="200"/>
        <w:jc w:val="both"/>
        <w:rPr>
          <w:rFonts w:hint="eastAsia" w:ascii="楷体_GB2312" w:hAnsi="楷体" w:eastAsia="楷体_GB2312" w:cs="楷体_GB2312"/>
          <w:b/>
          <w:bCs/>
          <w:kern w:val="0"/>
          <w:sz w:val="32"/>
          <w:szCs w:val="32"/>
        </w:rPr>
      </w:pPr>
      <w:r>
        <w:rPr>
          <w:rFonts w:hint="eastAsia" w:ascii="楷体_GB2312" w:hAnsi="楷体" w:eastAsia="楷体_GB2312" w:cs="楷体_GB2312"/>
          <w:b/>
          <w:bCs/>
          <w:color w:val="000000"/>
          <w:kern w:val="2"/>
          <w:sz w:val="32"/>
          <w:szCs w:val="32"/>
          <w:lang w:val="en-US" w:eastAsia="zh-CN" w:bidi="ar"/>
        </w:rPr>
        <w:t>（二）</w:t>
      </w:r>
      <w:r>
        <w:rPr>
          <w:rFonts w:hint="eastAsia" w:ascii="楷体_GB2312" w:hAnsi="楷体" w:eastAsia="楷体_GB2312" w:cs="楷体_GB2312"/>
          <w:b/>
          <w:bCs/>
          <w:color w:val="000000"/>
          <w:kern w:val="0"/>
          <w:sz w:val="32"/>
          <w:szCs w:val="32"/>
          <w:lang w:val="en-US" w:eastAsia="zh-CN" w:bidi="ar"/>
        </w:rPr>
        <w:t>关于个人借款长期未清理</w:t>
      </w:r>
      <w:r>
        <w:rPr>
          <w:rFonts w:hint="eastAsia" w:ascii="楷体_GB2312" w:hAnsi="楷体" w:eastAsia="楷体_GB2312" w:cs="楷体_GB2312"/>
          <w:b/>
          <w:bCs/>
          <w:color w:val="000000"/>
          <w:kern w:val="2"/>
          <w:sz w:val="32"/>
          <w:szCs w:val="32"/>
          <w:lang w:val="en-US" w:eastAsia="zh-CN" w:bidi="ar"/>
        </w:rPr>
        <w:t>事项</w:t>
      </w:r>
      <w:r>
        <w:rPr>
          <w:rFonts w:hint="eastAsia" w:ascii="楷体_GB2312" w:hAnsi="楷体" w:eastAsia="楷体_GB2312" w:cs="楷体_GB2312"/>
          <w:b/>
          <w:bCs/>
          <w:color w:val="000000"/>
          <w:kern w:val="0"/>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2"/>
          <w:sz w:val="32"/>
          <w:szCs w:val="32"/>
        </w:rPr>
      </w:pPr>
      <w:r>
        <w:rPr>
          <w:rFonts w:hint="eastAsia" w:ascii="仿宋_GB2312" w:hAnsi="华文仿宋" w:eastAsia="仿宋_GB2312" w:cs="仿宋_GB2312"/>
          <w:b/>
          <w:bCs w:val="0"/>
          <w:color w:val="000000"/>
          <w:kern w:val="0"/>
          <w:sz w:val="32"/>
          <w:szCs w:val="32"/>
          <w:lang w:val="en-US" w:eastAsia="zh-CN" w:bidi="ar"/>
        </w:rPr>
        <w:t>未完成整改原因：</w:t>
      </w:r>
      <w:r>
        <w:rPr>
          <w:rFonts w:hint="eastAsia" w:ascii="仿宋_GB2312" w:hAnsi="华文仿宋" w:eastAsia="仿宋_GB2312" w:cs="仿宋_GB2312"/>
          <w:color w:val="000000"/>
          <w:kern w:val="2"/>
          <w:sz w:val="32"/>
          <w:szCs w:val="32"/>
          <w:lang w:val="en-US" w:eastAsia="zh-CN" w:bidi="ar"/>
        </w:rPr>
        <w:t>1.因历史久远，部分当事人已离世，导致个人欠款长期未能得到清理；2.村集体先行垫付社会抚养费，但群众对此持拒绝缴纳的态度；3.涉及工程借款，工程已竣工，但施工单位无法提供必要的票据以完成核销流程；4.村干部因公务需借款，但未能及时提交合理有效票据进行核销。部分村干部已经离世，部分因年迈无法清晰回忆并说明款项的具体用途。</w:t>
      </w:r>
    </w:p>
    <w:p>
      <w:pPr>
        <w:keepNext w:val="0"/>
        <w:keepLines w:val="0"/>
        <w:widowControl/>
        <w:suppressLineNumbers w:val="0"/>
        <w:spacing w:before="0" w:beforeAutospacing="0" w:after="0" w:afterAutospacing="0" w:line="480" w:lineRule="exact"/>
        <w:ind w:left="0" w:right="0" w:firstLine="643" w:firstLineChars="200"/>
        <w:jc w:val="both"/>
        <w:rPr>
          <w:rFonts w:hint="eastAsia" w:ascii="仿宋_GB2312" w:eastAsia="仿宋_GB2312" w:cs="仿宋_GB2312"/>
          <w:kern w:val="0"/>
          <w:sz w:val="32"/>
          <w:szCs w:val="32"/>
        </w:rPr>
      </w:pPr>
      <w:r>
        <w:rPr>
          <w:rFonts w:hint="eastAsia" w:ascii="仿宋_GB2312" w:hAnsi="华文仿宋" w:eastAsia="仿宋_GB2312" w:cs="仿宋_GB2312"/>
          <w:b/>
          <w:bCs w:val="0"/>
          <w:color w:val="000000"/>
          <w:kern w:val="0"/>
          <w:sz w:val="32"/>
          <w:szCs w:val="32"/>
          <w:lang w:val="en-US" w:eastAsia="zh-CN" w:bidi="ar"/>
        </w:rPr>
        <w:t>下一步整改措施：</w:t>
      </w:r>
      <w:r>
        <w:rPr>
          <w:rFonts w:hint="eastAsia" w:ascii="仿宋_GB2312" w:hAnsi="华文仿宋" w:eastAsia="仿宋_GB2312" w:cs="仿宋_GB2312"/>
          <w:color w:val="000000"/>
          <w:kern w:val="0"/>
          <w:sz w:val="32"/>
          <w:szCs w:val="32"/>
          <w:lang w:val="en-US" w:eastAsia="zh-CN" w:bidi="ar"/>
        </w:rPr>
        <w:t>全面梳理相关情况，并据此制定详尽的催缴计划，确保催缴行动得到切实执行，不流于形式。同时，遵循《泉港区农村（社区）集体资金资产资源管理规定的通知》（泉港委改〔2019〕5号）及其他相关文件的指导精神，加大监管力度，积极加强村集体债权的追收工作，以维护集体资产的安全与完整。</w:t>
      </w:r>
    </w:p>
    <w:p>
      <w:pPr>
        <w:keepNext w:val="0"/>
        <w:keepLines w:val="0"/>
        <w:widowControl w:val="0"/>
        <w:suppressLineNumbers w:val="0"/>
        <w:spacing w:before="0" w:beforeAutospacing="0" w:after="0" w:afterAutospacing="0" w:line="600" w:lineRule="exact"/>
        <w:ind w:left="0" w:right="0" w:firstLine="643" w:firstLineChars="200"/>
        <w:jc w:val="both"/>
      </w:pPr>
      <w:r>
        <w:rPr>
          <w:rFonts w:hint="eastAsia" w:ascii="仿宋_GB2312" w:hAnsi="华文仿宋" w:eastAsia="仿宋_GB2312" w:cs="仿宋_GB2312"/>
          <w:b/>
          <w:bCs w:val="0"/>
          <w:color w:val="000000"/>
          <w:kern w:val="0"/>
          <w:sz w:val="32"/>
          <w:szCs w:val="32"/>
          <w:lang w:val="en-US" w:eastAsia="zh-CN" w:bidi="ar"/>
        </w:rPr>
        <w:t>整改时限：</w:t>
      </w:r>
      <w:r>
        <w:rPr>
          <w:rFonts w:hint="eastAsia" w:ascii="仿宋_GB2312" w:hAnsi="华文仿宋" w:eastAsia="仿宋_GB2312" w:cs="仿宋_GB2312"/>
          <w:color w:val="000000"/>
          <w:kern w:val="0"/>
          <w:sz w:val="32"/>
          <w:szCs w:val="32"/>
          <w:lang w:val="en-US" w:eastAsia="zh-CN" w:bidi="ar"/>
        </w:rPr>
        <w:t>2025年12月31日前。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35035"/>
    <w:rsid w:val="35434159"/>
    <w:rsid w:val="40D3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2025-03-05T09:08:00Z</dcterms:created>
  <dc:creator>qzwb</dc:creator>
  <cp:lastModifiedBy>qzwb</cp:lastModifiedBy>
  <dcterms:modified xsi:type="dcterms:W3CDTF">2025-03-05T09:08:38Z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890FAB177EB54C8C9F030AEEECDD3E47</vt:lpwstr>
  </property>
</Properties>
</file>