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00"/>
        </w:tabs>
        <w:spacing w:line="540" w:lineRule="exact"/>
        <w:ind w:firstLine="0" w:firstLineChars="0"/>
        <w:jc w:val="left"/>
        <w:rPr>
          <w:rFonts w:hint="eastAsia" w:ascii="黑体" w:hAnsi="黑体" w:eastAsia="黑体"/>
          <w:color w:val="000000"/>
          <w:highlight w:val="none"/>
          <w:lang w:val="en-US" w:eastAsia="zh-CN"/>
        </w:rPr>
      </w:pPr>
      <w:r>
        <w:rPr>
          <w:rFonts w:ascii="黑体" w:hAnsi="黑体" w:eastAsia="黑体"/>
          <w:color w:val="000000"/>
          <w:highlight w:val="none"/>
        </w:rPr>
        <w:t>附件</w:t>
      </w:r>
      <w:r>
        <w:rPr>
          <w:rFonts w:hint="eastAsia" w:ascii="黑体" w:hAnsi="黑体" w:eastAsia="黑体"/>
          <w:color w:val="000000"/>
          <w:highlight w:val="none"/>
        </w:rPr>
        <w:t>1</w:t>
      </w:r>
      <w:r>
        <w:rPr>
          <w:rFonts w:hint="eastAsia" w:ascii="黑体" w:hAnsi="黑体" w:eastAsia="黑体"/>
          <w:color w:val="000000"/>
          <w:highlight w:val="none"/>
          <w:lang w:val="en-US" w:eastAsia="zh-CN"/>
        </w:rPr>
        <w:t>1</w:t>
      </w:r>
    </w:p>
    <w:p>
      <w:pPr>
        <w:tabs>
          <w:tab w:val="left" w:pos="4800"/>
        </w:tabs>
        <w:spacing w:line="580" w:lineRule="exact"/>
        <w:ind w:firstLine="640"/>
        <w:jc w:val="left"/>
        <w:rPr>
          <w:rFonts w:hint="eastAsia" w:ascii="黑体" w:hAnsi="黑体" w:eastAsia="黑体"/>
          <w:color w:val="000000"/>
          <w:highlight w:val="none"/>
        </w:rPr>
      </w:pPr>
    </w:p>
    <w:p>
      <w:pPr>
        <w:tabs>
          <w:tab w:val="left" w:pos="4800"/>
        </w:tabs>
        <w:spacing w:line="570" w:lineRule="exact"/>
        <w:ind w:firstLine="0" w:firstLineChars="0"/>
        <w:jc w:val="center"/>
        <w:rPr>
          <w:rFonts w:hint="eastAsia" w:ascii="宋体" w:hAnsi="宋体" w:eastAsia="宋体" w:cs="宋体"/>
          <w:b/>
          <w:bCs/>
          <w:color w:val="000000"/>
          <w:sz w:val="44"/>
          <w:szCs w:val="44"/>
          <w:highlight w:val="none"/>
        </w:rPr>
      </w:pPr>
      <w:bookmarkStart w:id="0" w:name="_GoBack"/>
      <w:r>
        <w:rPr>
          <w:rFonts w:hint="eastAsia" w:ascii="方正小标宋简体" w:hAnsi="宋体" w:eastAsia="方正小标宋简体"/>
          <w:color w:val="000000"/>
          <w:sz w:val="44"/>
          <w:szCs w:val="44"/>
          <w:highlight w:val="none"/>
        </w:rPr>
        <w:t>关于区委巡察</w:t>
      </w:r>
      <w:r>
        <w:rPr>
          <w:rFonts w:hint="eastAsia" w:ascii="方正小标宋简体" w:hAnsi="宋体" w:eastAsia="方正小标宋简体"/>
          <w:color w:val="000000"/>
          <w:sz w:val="44"/>
          <w:szCs w:val="44"/>
          <w:highlight w:val="none"/>
          <w:lang w:val="en-US" w:eastAsia="zh-CN"/>
        </w:rPr>
        <w:t>二</w:t>
      </w:r>
      <w:r>
        <w:rPr>
          <w:rFonts w:hint="eastAsia" w:ascii="方正小标宋简体" w:hAnsi="宋体" w:eastAsia="方正小标宋简体"/>
          <w:color w:val="000000"/>
          <w:sz w:val="44"/>
          <w:szCs w:val="44"/>
          <w:highlight w:val="none"/>
        </w:rPr>
        <w:t>组巡察</w:t>
      </w:r>
      <w:r>
        <w:rPr>
          <w:rFonts w:hint="eastAsia" w:ascii="宋体" w:hAnsi="宋体" w:eastAsia="宋体" w:cs="宋体"/>
          <w:b/>
          <w:bCs/>
          <w:color w:val="000000"/>
          <w:sz w:val="44"/>
          <w:szCs w:val="44"/>
          <w:highlight w:val="none"/>
          <w:lang w:val="en-US" w:eastAsia="zh-CN"/>
        </w:rPr>
        <w:t>三朱</w:t>
      </w:r>
      <w:r>
        <w:rPr>
          <w:rFonts w:hint="eastAsia" w:ascii="方正小标宋简体" w:hAnsi="宋体" w:eastAsia="方正小标宋简体"/>
          <w:color w:val="000000"/>
          <w:sz w:val="44"/>
          <w:szCs w:val="44"/>
          <w:highlight w:val="none"/>
          <w:lang w:val="en-US" w:eastAsia="zh-CN"/>
        </w:rPr>
        <w:t>村</w:t>
      </w:r>
      <w:r>
        <w:rPr>
          <w:rFonts w:hint="eastAsia" w:ascii="方正小标宋简体" w:hAnsi="宋体" w:eastAsia="方正小标宋简体"/>
          <w:color w:val="000000"/>
          <w:sz w:val="44"/>
          <w:szCs w:val="44"/>
          <w:highlight w:val="none"/>
        </w:rPr>
        <w:t>反馈意见整改进展情况的报告</w:t>
      </w:r>
      <w:bookmarkEnd w:id="0"/>
    </w:p>
    <w:p>
      <w:pPr>
        <w:tabs>
          <w:tab w:val="left" w:pos="4800"/>
        </w:tabs>
        <w:spacing w:line="570" w:lineRule="exact"/>
        <w:ind w:firstLine="0" w:firstLineChars="0"/>
        <w:jc w:val="center"/>
        <w:rPr>
          <w:rFonts w:hint="eastAsia" w:ascii="方正小标宋简体" w:eastAsia="方正小标宋简体"/>
          <w:color w:val="000000"/>
          <w:sz w:val="44"/>
          <w:szCs w:val="44"/>
          <w:highlight w:val="none"/>
        </w:rPr>
      </w:pP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firstLine="640"/>
        <w:jc w:val="left"/>
        <w:textAlignment w:val="auto"/>
        <w:rPr>
          <w:rFonts w:hint="eastAsia" w:ascii="仿宋_GB2312" w:hAnsi="仿宋_GB2312" w:eastAsia="仿宋_GB2312" w:cs="仿宋_GB2312"/>
          <w:color w:val="000000"/>
          <w:w w:val="100"/>
          <w:sz w:val="32"/>
          <w:highlight w:val="none"/>
        </w:rPr>
      </w:pPr>
      <w:r>
        <w:rPr>
          <w:rFonts w:hint="eastAsia" w:ascii="仿宋_GB2312" w:hAnsi="仿宋_GB2312" w:eastAsia="仿宋_GB2312" w:cs="仿宋_GB2312"/>
          <w:color w:val="000000"/>
          <w:highlight w:val="none"/>
        </w:rPr>
        <w:t>根据区委巡察</w:t>
      </w:r>
      <w:r>
        <w:rPr>
          <w:rFonts w:hint="eastAsia" w:ascii="仿宋_GB2312" w:hAnsi="仿宋_GB2312" w:eastAsia="仿宋_GB2312" w:cs="仿宋_GB2312"/>
          <w:color w:val="000000"/>
          <w:w w:val="100"/>
          <w:sz w:val="32"/>
          <w:highlight w:val="none"/>
        </w:rPr>
        <w:t>工作统一部署，</w:t>
      </w:r>
      <w:r>
        <w:rPr>
          <w:rFonts w:hint="eastAsia" w:ascii="仿宋_GB2312" w:eastAsia="仿宋_GB2312"/>
          <w:color w:val="000000"/>
          <w:w w:val="100"/>
          <w:sz w:val="32"/>
          <w:szCs w:val="32"/>
          <w:highlight w:val="none"/>
        </w:rPr>
        <w:t>6月13日</w:t>
      </w:r>
      <w:r>
        <w:rPr>
          <w:rFonts w:hint="eastAsia" w:ascii="仿宋_GB2312" w:hAnsi="仿宋_GB2312" w:eastAsia="仿宋_GB2312" w:cs="仿宋_GB2312"/>
          <w:color w:val="000000"/>
          <w:w w:val="100"/>
          <w:sz w:val="32"/>
          <w:highlight w:val="none"/>
        </w:rPr>
        <w:t>至</w:t>
      </w:r>
      <w:r>
        <w:rPr>
          <w:rFonts w:hint="eastAsia" w:ascii="仿宋_GB2312" w:eastAsia="仿宋_GB2312"/>
          <w:color w:val="000000"/>
          <w:w w:val="100"/>
          <w:sz w:val="32"/>
          <w:szCs w:val="32"/>
          <w:highlight w:val="none"/>
        </w:rPr>
        <w:t>8月24日</w:t>
      </w:r>
      <w:r>
        <w:rPr>
          <w:rFonts w:hint="eastAsia" w:ascii="仿宋_GB2312" w:hAnsi="仿宋_GB2312" w:eastAsia="仿宋_GB2312" w:cs="仿宋_GB2312"/>
          <w:color w:val="000000"/>
          <w:w w:val="100"/>
          <w:sz w:val="32"/>
          <w:highlight w:val="none"/>
        </w:rPr>
        <w:t>，区委巡察</w:t>
      </w:r>
      <w:r>
        <w:rPr>
          <w:rFonts w:hint="eastAsia" w:ascii="仿宋_GB2312" w:hAnsi="仿宋_GB2312" w:eastAsia="仿宋_GB2312" w:cs="仿宋_GB2312"/>
          <w:color w:val="000000"/>
          <w:w w:val="100"/>
          <w:sz w:val="32"/>
          <w:highlight w:val="none"/>
          <w:lang w:val="en-US" w:eastAsia="zh-CN"/>
        </w:rPr>
        <w:t>二</w:t>
      </w:r>
      <w:r>
        <w:rPr>
          <w:rFonts w:hint="eastAsia" w:ascii="仿宋_GB2312" w:hAnsi="仿宋_GB2312" w:eastAsia="仿宋_GB2312" w:cs="仿宋_GB2312"/>
          <w:color w:val="000000"/>
          <w:w w:val="100"/>
          <w:sz w:val="32"/>
          <w:highlight w:val="none"/>
        </w:rPr>
        <w:t>组对</w:t>
      </w:r>
      <w:r>
        <w:rPr>
          <w:rFonts w:hint="eastAsia" w:ascii="仿宋_GB2312" w:hAnsi="仿宋_GB2312" w:eastAsia="仿宋_GB2312" w:cs="仿宋_GB2312"/>
          <w:color w:val="000000"/>
          <w:w w:val="100"/>
          <w:sz w:val="32"/>
          <w:highlight w:val="none"/>
          <w:lang w:val="en-US" w:eastAsia="zh-CN"/>
        </w:rPr>
        <w:t>三朱</w:t>
      </w:r>
      <w:r>
        <w:rPr>
          <w:rFonts w:hint="eastAsia" w:ascii="仿宋_GB2312" w:hAnsi="仿宋_GB2312" w:eastAsia="仿宋_GB2312" w:cs="仿宋_GB2312"/>
          <w:color w:val="000000"/>
          <w:w w:val="100"/>
          <w:sz w:val="32"/>
          <w:highlight w:val="none"/>
        </w:rPr>
        <w:t>村开展了巡察。</w:t>
      </w:r>
      <w:r>
        <w:rPr>
          <w:rFonts w:hint="eastAsia" w:ascii="仿宋_GB2312" w:hAnsi="仿宋_GB2312" w:eastAsia="仿宋_GB2312" w:cs="仿宋_GB2312"/>
          <w:color w:val="000000"/>
          <w:w w:val="100"/>
          <w:sz w:val="32"/>
          <w:highlight w:val="none"/>
          <w:lang w:val="en-US" w:eastAsia="zh-CN"/>
        </w:rPr>
        <w:t>10</w:t>
      </w:r>
      <w:r>
        <w:rPr>
          <w:rFonts w:hint="eastAsia" w:ascii="仿宋_GB2312" w:hAnsi="仿宋_GB2312" w:eastAsia="仿宋_GB2312" w:cs="仿宋_GB2312"/>
          <w:color w:val="000000"/>
          <w:w w:val="100"/>
          <w:sz w:val="32"/>
          <w:highlight w:val="none"/>
        </w:rPr>
        <w:t>月</w:t>
      </w:r>
      <w:r>
        <w:rPr>
          <w:rFonts w:hint="eastAsia" w:ascii="仿宋_GB2312" w:hAnsi="仿宋_GB2312" w:eastAsia="仿宋_GB2312" w:cs="仿宋_GB2312"/>
          <w:color w:val="000000"/>
          <w:w w:val="100"/>
          <w:sz w:val="32"/>
          <w:highlight w:val="none"/>
          <w:lang w:val="en-US" w:eastAsia="zh-CN"/>
        </w:rPr>
        <w:t>27</w:t>
      </w:r>
      <w:r>
        <w:rPr>
          <w:rFonts w:hint="eastAsia" w:ascii="仿宋_GB2312" w:hAnsi="仿宋_GB2312" w:eastAsia="仿宋_GB2312" w:cs="仿宋_GB2312"/>
          <w:color w:val="000000"/>
          <w:w w:val="100"/>
          <w:sz w:val="32"/>
          <w:highlight w:val="none"/>
        </w:rPr>
        <w:t>日，反馈了巡察意见</w:t>
      </w:r>
      <w:r>
        <w:rPr>
          <w:rFonts w:hint="eastAsia" w:ascii="仿宋_GB2312" w:hAnsi="仿宋_GB2312" w:eastAsia="仿宋_GB2312" w:cs="仿宋_GB2312"/>
          <w:color w:val="000000"/>
          <w:highlight w:val="none"/>
          <w:lang w:eastAsia="zh-CN"/>
        </w:rPr>
        <w:t>。</w:t>
      </w:r>
      <w:r>
        <w:rPr>
          <w:rFonts w:hint="eastAsia" w:ascii="宋体" w:hAnsi="宋体" w:eastAsia="仿宋_GB2312" w:cs="宋体"/>
          <w:kern w:val="0"/>
          <w:highlight w:val="none"/>
        </w:rPr>
        <w:t>按照党务公开原则和巡察工作有关要求，现将巡察整改进展情况予以公布。</w:t>
      </w:r>
    </w:p>
    <w:p>
      <w:pPr>
        <w:keepNext w:val="0"/>
        <w:keepLines w:val="0"/>
        <w:pageBreakBefore w:val="0"/>
        <w:widowControl w:val="0"/>
        <w:numPr>
          <w:ilvl w:val="0"/>
          <w:numId w:val="1"/>
        </w:numPr>
        <w:tabs>
          <w:tab w:val="left" w:pos="4800"/>
        </w:tabs>
        <w:kinsoku/>
        <w:wordWrap/>
        <w:overflowPunct/>
        <w:topLinePunct w:val="0"/>
        <w:autoSpaceDE/>
        <w:autoSpaceDN/>
        <w:bidi w:val="0"/>
        <w:adjustRightInd/>
        <w:snapToGrid/>
        <w:spacing w:line="570" w:lineRule="exact"/>
        <w:ind w:firstLine="640"/>
        <w:jc w:val="left"/>
        <w:textAlignment w:val="auto"/>
        <w:rPr>
          <w:rFonts w:hint="eastAsia" w:eastAsia="黑体"/>
          <w:color w:val="000000"/>
          <w:w w:val="100"/>
          <w:sz w:val="32"/>
          <w:highlight w:val="none"/>
        </w:rPr>
      </w:pPr>
      <w:r>
        <w:rPr>
          <w:rFonts w:hint="eastAsia" w:eastAsia="黑体"/>
          <w:color w:val="000000"/>
          <w:w w:val="100"/>
          <w:sz w:val="32"/>
          <w:highlight w:val="none"/>
        </w:rPr>
        <w:t>加强对巡察整改的组织领导情况</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firstLine="640"/>
        <w:jc w:val="left"/>
        <w:textAlignment w:val="auto"/>
        <w:rPr>
          <w:rFonts w:hint="eastAsia" w:ascii="仿宋_GB2312" w:hAnsi="仿宋_GB2312" w:eastAsia="仿宋_GB2312" w:cs="仿宋_GB2312"/>
          <w:bCs/>
          <w:color w:val="000000"/>
          <w:w w:val="100"/>
          <w:sz w:val="32"/>
          <w:highlight w:val="none"/>
        </w:rPr>
      </w:pPr>
      <w:r>
        <w:rPr>
          <w:rFonts w:hint="eastAsia" w:ascii="仿宋_GB2312" w:hAnsi="仿宋_GB2312" w:eastAsia="仿宋_GB2312" w:cs="仿宋_GB2312"/>
          <w:bCs/>
          <w:color w:val="000000"/>
          <w:w w:val="100"/>
          <w:sz w:val="32"/>
          <w:highlight w:val="none"/>
        </w:rPr>
        <w:t>我村认真听取了巡察组的意见和建议，深入反思了自身存在的问题和不足，并采取了一系列措施进行整改。不仅加强了村级组织的建设和管理。还根据问题和村级实际情况，将继续加强村级组织建设和管理，同时明确了组织职责和工作流程，并加强了对组织成员的培训和考核。为村民提供更加优质、高效的服务。</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jc w:val="left"/>
        <w:textAlignment w:val="auto"/>
        <w:rPr>
          <w:rFonts w:eastAsia="黑体"/>
          <w:color w:val="000000"/>
          <w:w w:val="100"/>
          <w:sz w:val="32"/>
          <w:highlight w:val="none"/>
        </w:rPr>
      </w:pPr>
      <w:r>
        <w:rPr>
          <w:rFonts w:eastAsia="黑体"/>
          <w:color w:val="000000"/>
          <w:w w:val="100"/>
          <w:sz w:val="32"/>
          <w:highlight w:val="none"/>
        </w:rPr>
        <w:t>二、巡察反馈问题的整改进展情况</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firstLine="640"/>
        <w:jc w:val="left"/>
        <w:textAlignment w:val="auto"/>
        <w:rPr>
          <w:rFonts w:ascii="宋体" w:hAnsi="宋体" w:eastAsia="宋体"/>
          <w:color w:val="000000"/>
          <w:w w:val="100"/>
          <w:sz w:val="32"/>
          <w:highlight w:val="none"/>
        </w:rPr>
      </w:pPr>
      <w:r>
        <w:rPr>
          <w:rFonts w:ascii="宋体" w:hAnsi="宋体" w:eastAsia="宋体"/>
          <w:color w:val="000000"/>
          <w:w w:val="100"/>
          <w:sz w:val="32"/>
          <w:highlight w:val="none"/>
        </w:rPr>
        <w:t>（一）</w:t>
      </w:r>
      <w:r>
        <w:rPr>
          <w:rFonts w:hint="eastAsia" w:ascii="宋体" w:hAnsi="宋体" w:eastAsia="宋体"/>
          <w:bCs/>
          <w:color w:val="000000"/>
          <w:w w:val="100"/>
          <w:sz w:val="32"/>
          <w:highlight w:val="none"/>
        </w:rPr>
        <w:t>聚焦贯彻落实党的路线方针政策、党中央决策部署及省委、市委、区委工作要求方面</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eastAsia" w:ascii="楷体_GB2312" w:hAnsi="楷体" w:eastAsia="楷体_GB2312" w:cs="Times New Roman"/>
          <w:b/>
          <w:bCs w:val="0"/>
          <w:color w:val="000000"/>
          <w:w w:val="100"/>
          <w:sz w:val="32"/>
          <w:highlight w:val="none"/>
          <w:lang w:val="en-US" w:eastAsia="zh-CN"/>
        </w:rPr>
      </w:pPr>
      <w:r>
        <w:rPr>
          <w:rFonts w:hint="eastAsia" w:ascii="楷体_GB2312" w:hAnsi="楷体" w:eastAsia="楷体_GB2312" w:cs="Times New Roman"/>
          <w:b/>
          <w:bCs w:val="0"/>
          <w:color w:val="000000"/>
          <w:w w:val="100"/>
          <w:sz w:val="32"/>
          <w:highlight w:val="none"/>
          <w:lang w:val="en-US" w:eastAsia="zh-CN"/>
        </w:rPr>
        <w:t>1.关于村集体收入不到位的问题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老鼠田及昆山场于2019年10月份各补交9000元履约金；部分经联社店面租金没有及时缴纳，经村干部多次催促已再缴纳35766元租金。截止到2023年12月26日止经联社1-4号店面2023年7月-12月两个季度32400元尚未缴纳、8-10号店面2023年8月-2024年1月两个季度20736元尚未缴纳、11-12号店面2023年8月-2024年1月两个季度12096元尚未缴纳，合计65232元。</w:t>
      </w:r>
    </w:p>
    <w:p>
      <w:pPr>
        <w:keepNext w:val="0"/>
        <w:keepLines w:val="0"/>
        <w:pageBreakBefore w:val="0"/>
        <w:widowControl w:val="0"/>
        <w:numPr>
          <w:ilvl w:val="0"/>
          <w:numId w:val="0"/>
        </w:numPr>
        <w:tabs>
          <w:tab w:val="left" w:pos="4800"/>
        </w:tabs>
        <w:kinsoku/>
        <w:wordWrap/>
        <w:overflowPunct/>
        <w:topLinePunct w:val="0"/>
        <w:autoSpaceDE/>
        <w:autoSpaceDN/>
        <w:bidi w:val="0"/>
        <w:adjustRightInd/>
        <w:snapToGrid/>
        <w:spacing w:line="570" w:lineRule="exact"/>
        <w:ind w:leftChars="200"/>
        <w:jc w:val="left"/>
        <w:textAlignment w:val="auto"/>
        <w:rPr>
          <w:rFonts w:hint="eastAsia" w:ascii="楷体_GB2312" w:hAnsi="楷体" w:eastAsia="楷体_GB2312" w:cs="Times New Roman"/>
          <w:b/>
          <w:bCs w:val="0"/>
          <w:color w:val="000000"/>
          <w:w w:val="100"/>
          <w:sz w:val="32"/>
          <w:highlight w:val="none"/>
          <w:lang w:val="en-US" w:eastAsia="zh-CN"/>
        </w:rPr>
      </w:pPr>
      <w:r>
        <w:rPr>
          <w:rFonts w:hint="eastAsia" w:ascii="楷体_GB2312" w:hAnsi="楷体" w:eastAsia="楷体_GB2312" w:cs="Times New Roman"/>
          <w:b/>
          <w:bCs w:val="0"/>
          <w:color w:val="000000"/>
          <w:w w:val="100"/>
          <w:sz w:val="32"/>
          <w:highlight w:val="none"/>
          <w:lang w:val="en-US" w:eastAsia="zh-CN"/>
        </w:rPr>
        <w:t>2.关于工程未按时序推进的问题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三朱村经联社工程因当时工程存在问题及承包公司出现问题致使手续没完成未能及时拨款，经三方洽谈协商，于2023年6月28日已拨付第一期款项一百万元至福建省华峰建设发展有限公司泉港分公司账户，后续再按约定时间分期付款。自来水管网现已施工完成，已验收。</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楷体_GB2312" w:hAnsi="楷体" w:eastAsia="楷体_GB2312" w:cs="Times New Roman"/>
          <w:b/>
          <w:bCs w:val="0"/>
          <w:color w:val="000000"/>
          <w:w w:val="100"/>
          <w:sz w:val="32"/>
          <w:highlight w:val="none"/>
          <w:lang w:val="en-US" w:eastAsia="zh-CN"/>
        </w:rPr>
      </w:pPr>
      <w:r>
        <w:rPr>
          <w:rFonts w:hint="eastAsia" w:ascii="楷体_GB2312" w:hAnsi="楷体" w:eastAsia="楷体_GB2312" w:cs="Times New Roman"/>
          <w:b/>
          <w:bCs w:val="0"/>
          <w:color w:val="000000"/>
          <w:w w:val="100"/>
          <w:sz w:val="32"/>
          <w:highlight w:val="none"/>
          <w:lang w:val="en-US" w:eastAsia="zh-CN"/>
        </w:rPr>
        <w:t>3.关于基础设施有待改善的问题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整改进展情况：2023年12月份我村监控已全部重新布置安装30多台。农村污水管网建设已逐步全村布网，现已完成532户，后续根据区级项目安排进行全村所有用户分批布网。</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楷体_GB2312" w:hAnsi="楷体" w:eastAsia="楷体_GB2312" w:cs="Times New Roman"/>
          <w:b/>
          <w:bCs w:val="0"/>
          <w:color w:val="000000"/>
          <w:w w:val="100"/>
          <w:sz w:val="32"/>
          <w:highlight w:val="none"/>
          <w:lang w:val="en-US" w:eastAsia="zh-CN"/>
        </w:rPr>
      </w:pPr>
      <w:r>
        <w:rPr>
          <w:rFonts w:hint="eastAsia" w:ascii="楷体_GB2312" w:hAnsi="楷体" w:eastAsia="楷体_GB2312" w:cs="Times New Roman"/>
          <w:b/>
          <w:bCs w:val="0"/>
          <w:color w:val="000000"/>
          <w:w w:val="100"/>
          <w:sz w:val="32"/>
          <w:highlight w:val="none"/>
          <w:lang w:val="en-US" w:eastAsia="zh-CN"/>
        </w:rPr>
        <w:t>4.关于截止2023年8月9日，境外涉诈人员还有1人未劝返的问题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整改进展情况：村干部及网格员多次入户与家属做劝返工作、片区民警均多次协同入户及电话沟通做劝返工作、村主干及综治办也多次叫对象家属来村委会参加劝返专题会议。</w:t>
      </w:r>
    </w:p>
    <w:p>
      <w:pPr>
        <w:pStyle w:val="4"/>
        <w:keepNext w:val="0"/>
        <w:keepLines w:val="0"/>
        <w:pageBreakBefore w:val="0"/>
        <w:widowControl w:val="0"/>
        <w:numPr>
          <w:ilvl w:val="0"/>
          <w:numId w:val="0"/>
        </w:numPr>
        <w:tabs>
          <w:tab w:val="left" w:pos="4800"/>
          <w:tab w:val="left" w:pos="6635"/>
        </w:tabs>
        <w:kinsoku/>
        <w:wordWrap/>
        <w:overflowPunct/>
        <w:topLinePunct w:val="0"/>
        <w:autoSpaceDE/>
        <w:autoSpaceDN/>
        <w:bidi w:val="0"/>
        <w:adjustRightInd/>
        <w:snapToGrid/>
        <w:spacing w:after="0" w:line="570" w:lineRule="exact"/>
        <w:ind w:firstLine="640" w:firstLineChars="200"/>
        <w:jc w:val="left"/>
        <w:textAlignment w:val="auto"/>
        <w:rPr>
          <w:rFonts w:hint="eastAsia" w:ascii="宋体" w:hAnsi="宋体" w:eastAsia="宋体" w:cs="宋体"/>
          <w:color w:val="000000"/>
          <w:w w:val="100"/>
          <w:sz w:val="32"/>
          <w:szCs w:val="32"/>
          <w:highlight w:val="none"/>
          <w:lang w:val="en-US" w:eastAsia="zh-CN"/>
        </w:rPr>
      </w:pPr>
      <w:r>
        <w:rPr>
          <w:rFonts w:hint="eastAsia" w:ascii="宋体" w:hAnsi="宋体" w:eastAsia="宋体" w:cs="宋体"/>
          <w:color w:val="000000"/>
          <w:w w:val="100"/>
          <w:sz w:val="32"/>
          <w:szCs w:val="32"/>
          <w:highlight w:val="none"/>
          <w:lang w:val="en-US" w:eastAsia="zh-CN"/>
        </w:rPr>
        <w:t>（二）聚焦群众身边腐败问题和不正之风方面</w:t>
      </w:r>
      <w:r>
        <w:rPr>
          <w:rFonts w:hint="eastAsia" w:ascii="宋体" w:hAnsi="宋体" w:eastAsia="宋体" w:cs="宋体"/>
          <w:color w:val="000000"/>
          <w:w w:val="100"/>
          <w:sz w:val="32"/>
          <w:szCs w:val="32"/>
          <w:highlight w:val="none"/>
          <w:lang w:val="en-US" w:eastAsia="zh-CN"/>
        </w:rPr>
        <w:tab/>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楷体_GB2312" w:hAnsi="楷体" w:eastAsia="楷体_GB2312" w:cs="Times New Roman"/>
          <w:b/>
          <w:bCs w:val="0"/>
          <w:color w:val="000000"/>
          <w:w w:val="100"/>
          <w:sz w:val="32"/>
          <w:highlight w:val="none"/>
          <w:lang w:val="en-US" w:eastAsia="zh-CN"/>
        </w:rPr>
      </w:pPr>
      <w:r>
        <w:rPr>
          <w:rFonts w:hint="eastAsia" w:ascii="楷体_GB2312" w:hAnsi="楷体" w:eastAsia="楷体_GB2312" w:cs="Times New Roman"/>
          <w:b/>
          <w:bCs w:val="0"/>
          <w:color w:val="000000"/>
          <w:w w:val="100"/>
          <w:sz w:val="32"/>
          <w:highlight w:val="none"/>
          <w:lang w:val="en-US" w:eastAsia="zh-CN"/>
        </w:rPr>
        <w:t>1.关于库存现金余额较大的问题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整改进展情况：截止2023年6月底库存现金余额54.27万元，其中白条抵库一是历年一事一议筹资酬劳354000元，二是</w:t>
      </w:r>
      <w:r>
        <w:rPr>
          <w:rFonts w:hint="eastAsia" w:ascii="仿宋_GB2312" w:hAnsi="仿宋_GB2312" w:eastAsia="仿宋_GB2312" w:cs="仿宋_GB2312"/>
          <w:color w:val="000000"/>
          <w:highlight w:val="none"/>
        </w:rPr>
        <w:t>白条抵库</w:t>
      </w:r>
      <w:r>
        <w:rPr>
          <w:rFonts w:hint="default" w:ascii="仿宋_GB2312" w:hAnsi="仿宋_GB2312" w:eastAsia="仿宋_GB2312" w:cs="仿宋_GB2312"/>
          <w:color w:val="000000"/>
          <w:kern w:val="2"/>
          <w:sz w:val="32"/>
          <w:szCs w:val="32"/>
          <w:highlight w:val="none"/>
          <w:lang w:eastAsia="zh-CN" w:bidi="ar-SA"/>
        </w:rPr>
        <w:t>部分账款</w:t>
      </w:r>
      <w:r>
        <w:rPr>
          <w:rFonts w:hint="eastAsia" w:ascii="仿宋_GB2312" w:hAnsi="仿宋_GB2312" w:eastAsia="仿宋_GB2312" w:cs="仿宋_GB2312"/>
          <w:color w:val="000000"/>
          <w:kern w:val="0"/>
          <w:highlight w:val="none"/>
          <w:lang w:val="en-US" w:eastAsia="zh-CN"/>
        </w:rPr>
        <w:t>为系社会抚养费借款，因国家计划生育政策变化，不再收取缴纳社会抚养费，收回社会抚养费历史欠账难度较大，我村催缴中。</w:t>
      </w:r>
    </w:p>
    <w:p>
      <w:pPr>
        <w:keepNext w:val="0"/>
        <w:keepLines w:val="0"/>
        <w:pageBreakBefore w:val="0"/>
        <w:widowControl w:val="0"/>
        <w:numPr>
          <w:ilvl w:val="0"/>
          <w:numId w:val="0"/>
        </w:numPr>
        <w:tabs>
          <w:tab w:val="left" w:pos="4800"/>
        </w:tabs>
        <w:kinsoku/>
        <w:wordWrap/>
        <w:overflowPunct/>
        <w:topLinePunct w:val="0"/>
        <w:autoSpaceDE/>
        <w:autoSpaceDN/>
        <w:bidi w:val="0"/>
        <w:adjustRightInd/>
        <w:snapToGrid/>
        <w:spacing w:line="570" w:lineRule="exact"/>
        <w:ind w:leftChars="0" w:firstLine="643" w:firstLineChars="200"/>
        <w:jc w:val="left"/>
        <w:textAlignment w:val="auto"/>
        <w:rPr>
          <w:rFonts w:hint="eastAsia" w:ascii="楷体_GB2312" w:hAnsi="楷体" w:eastAsia="楷体_GB2312" w:cs="Times New Roman"/>
          <w:b/>
          <w:bCs w:val="0"/>
          <w:color w:val="000000"/>
          <w:w w:val="100"/>
          <w:sz w:val="32"/>
          <w:highlight w:val="none"/>
          <w:lang w:val="en-US" w:eastAsia="zh-CN"/>
        </w:rPr>
      </w:pPr>
      <w:r>
        <w:rPr>
          <w:rFonts w:hint="eastAsia" w:ascii="楷体_GB2312" w:hAnsi="楷体" w:eastAsia="楷体_GB2312" w:cs="Times New Roman"/>
          <w:b/>
          <w:bCs w:val="0"/>
          <w:color w:val="000000"/>
          <w:w w:val="100"/>
          <w:sz w:val="32"/>
          <w:highlight w:val="none"/>
          <w:lang w:val="en-US" w:eastAsia="zh-CN"/>
        </w:rPr>
        <w:t>2.关于财务报销不规范的问题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仿宋_GB2312" w:hAnsi="仿宋_GB2312" w:eastAsia="仿宋_GB2312" w:cs="仿宋_GB2312"/>
          <w:b/>
          <w:bCs/>
          <w:color w:val="000000"/>
          <w:w w:val="100"/>
          <w:sz w:val="32"/>
          <w:highlight w:val="none"/>
          <w:lang w:val="en-US" w:eastAsia="zh-CN"/>
        </w:rPr>
      </w:pPr>
      <w:r>
        <w:rPr>
          <w:rFonts w:hint="eastAsia" w:ascii="仿宋_GB2312" w:hAnsi="仿宋_GB2312" w:eastAsia="仿宋_GB2312" w:cs="仿宋_GB2312"/>
          <w:b/>
          <w:color w:val="000000"/>
          <w:highlight w:val="none"/>
        </w:rPr>
        <w:t>（1）</w:t>
      </w:r>
      <w:r>
        <w:rPr>
          <w:rFonts w:hint="eastAsia" w:ascii="仿宋_GB2312" w:hAnsi="仿宋_GB2312" w:eastAsia="仿宋_GB2312" w:cs="仿宋_GB2312"/>
          <w:b/>
          <w:bCs/>
          <w:color w:val="000000"/>
          <w:w w:val="100"/>
          <w:sz w:val="32"/>
          <w:highlight w:val="none"/>
          <w:lang w:val="en-US" w:eastAsia="zh-CN"/>
        </w:rPr>
        <w:t>针对报销手续不全的问题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整改进展情况：2019年2月份报销篮球服装18938元，已补领用表。</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eastAsia" w:ascii="仿宋" w:hAnsi="仿宋" w:eastAsia="仿宋" w:cs="仿宋"/>
          <w:color w:val="000000"/>
          <w:w w:val="100"/>
          <w:sz w:val="32"/>
          <w:highlight w:val="none"/>
          <w:lang w:val="en-US" w:eastAsia="zh-CN"/>
        </w:rPr>
      </w:pP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val="en-US" w:eastAsia="zh-CN"/>
        </w:rPr>
        <w:t>2</w:t>
      </w: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bCs/>
          <w:color w:val="000000"/>
          <w:w w:val="100"/>
          <w:sz w:val="32"/>
          <w:highlight w:val="none"/>
          <w:lang w:val="en-US" w:eastAsia="zh-CN"/>
        </w:rPr>
        <w:t>针对报销应由个人支付的问题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整改进展情况：2019年3月2日往返厦门探望老领导差旅费700元于2024年1月26日已入账。</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仿宋_GB2312" w:hAnsi="仿宋_GB2312" w:eastAsia="仿宋_GB2312" w:cs="仿宋_GB2312"/>
          <w:b/>
          <w:bCs/>
          <w:color w:val="000000"/>
          <w:w w:val="100"/>
          <w:sz w:val="32"/>
          <w:highlight w:val="none"/>
          <w:lang w:val="en-US" w:eastAsia="zh-CN"/>
        </w:rPr>
      </w:pP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val="en-US" w:eastAsia="zh-CN"/>
        </w:rPr>
        <w:t>3</w:t>
      </w: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bCs/>
          <w:color w:val="000000"/>
          <w:w w:val="100"/>
          <w:sz w:val="32"/>
          <w:highlight w:val="none"/>
          <w:lang w:val="en-US" w:eastAsia="zh-CN"/>
        </w:rPr>
        <w:t>针对报销不应由三朱村集体支付的费用问题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整改进展情况：2019年12月报销壮志亭提升预算3000元，于2024年1月26日转入三朱村委会账户。</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楷体_GB2312" w:hAnsi="楷体" w:eastAsia="楷体_GB2312" w:cs="Times New Roman"/>
          <w:b/>
          <w:bCs w:val="0"/>
          <w:color w:val="000000"/>
          <w:w w:val="100"/>
          <w:sz w:val="32"/>
          <w:highlight w:val="none"/>
          <w:lang w:val="en-US" w:eastAsia="zh-CN"/>
        </w:rPr>
      </w:pPr>
      <w:r>
        <w:rPr>
          <w:rFonts w:hint="eastAsia" w:ascii="楷体_GB2312" w:hAnsi="楷体" w:eastAsia="楷体_GB2312" w:cs="Times New Roman"/>
          <w:b/>
          <w:bCs w:val="0"/>
          <w:color w:val="000000"/>
          <w:w w:val="100"/>
          <w:sz w:val="32"/>
          <w:highlight w:val="none"/>
          <w:lang w:val="en-US" w:eastAsia="zh-CN"/>
        </w:rPr>
        <w:t>3.关于项目建设可行性研究不充分的问题</w:t>
      </w:r>
    </w:p>
    <w:p>
      <w:pPr>
        <w:rPr>
          <w:rFonts w:hint="eastAsia"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整改进展情况：2019年3月行政处罚25606元是省级项目坝头溪安全生态水系建设二期（前黄镇部分）三朱村生态公园卫星航拍处罚，建设该项目</w:t>
      </w:r>
      <w:r>
        <w:rPr>
          <w:rFonts w:hint="eastAsia" w:ascii="仿宋_GB2312" w:hAnsi="仿宋_GB2312" w:eastAsia="仿宋_GB2312" w:cs="仿宋_GB2312"/>
          <w:b w:val="0"/>
          <w:bCs w:val="0"/>
          <w:color w:val="000000"/>
          <w:sz w:val="32"/>
          <w:szCs w:val="32"/>
          <w:highlight w:val="none"/>
          <w:lang w:val="en-US" w:eastAsia="zh-CN"/>
        </w:rPr>
        <w:t>为增加我村公共设施配备以方便群众，但因对村集体用地性质摸排不清，导致违法占地行为，</w:t>
      </w:r>
      <w:r>
        <w:rPr>
          <w:rFonts w:hint="eastAsia" w:ascii="仿宋_GB2312" w:hAnsi="仿宋_GB2312" w:eastAsia="仿宋_GB2312" w:cs="仿宋_GB2312"/>
          <w:color w:val="000000"/>
          <w:w w:val="100"/>
          <w:sz w:val="32"/>
          <w:highlight w:val="none"/>
          <w:lang w:val="en-US" w:eastAsia="zh-CN"/>
        </w:rPr>
        <w:t>后续会举一反三做好村级工程项目的前期规划准备工作，尤其是加强国土空间规划衔接，确保今后实施的工程项目不再出现类似问题。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楷体_GB2312" w:hAnsi="楷体" w:eastAsia="楷体_GB2312" w:cs="Times New Roman"/>
          <w:b/>
          <w:bCs w:val="0"/>
          <w:color w:val="000000"/>
          <w:w w:val="100"/>
          <w:sz w:val="32"/>
          <w:highlight w:val="none"/>
          <w:lang w:val="en-US" w:eastAsia="zh-CN"/>
        </w:rPr>
      </w:pPr>
      <w:r>
        <w:rPr>
          <w:rFonts w:hint="eastAsia" w:ascii="楷体_GB2312" w:hAnsi="楷体" w:eastAsia="楷体_GB2312" w:cs="Times New Roman"/>
          <w:b/>
          <w:bCs w:val="0"/>
          <w:color w:val="000000"/>
          <w:w w:val="100"/>
          <w:sz w:val="32"/>
          <w:highlight w:val="none"/>
          <w:lang w:val="en-US" w:eastAsia="zh-CN"/>
        </w:rPr>
        <w:t>4.关于工程项目程序不规范的问题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仿宋_GB2312" w:hAnsi="仿宋_GB2312" w:eastAsia="仿宋_GB2312" w:cs="仿宋_GB2312"/>
          <w:b/>
          <w:bCs/>
          <w:color w:val="000000"/>
          <w:w w:val="100"/>
          <w:sz w:val="32"/>
          <w:highlight w:val="none"/>
          <w:lang w:val="en-US" w:eastAsia="zh-CN"/>
        </w:rPr>
      </w:pP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val="en-US" w:eastAsia="zh-CN"/>
        </w:rPr>
        <w:t>1</w:t>
      </w: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bCs/>
          <w:color w:val="000000"/>
          <w:w w:val="100"/>
          <w:sz w:val="32"/>
          <w:highlight w:val="none"/>
          <w:lang w:val="en-US" w:eastAsia="zh-CN"/>
        </w:rPr>
        <w:t>针对工程采购项目存在拆分承包的问题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仿宋" w:hAnsi="仿宋" w:eastAsia="仿宋" w:cs="仿宋"/>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一是因项目前期规划调研不足、预算不准，在后续施工过程中，增加了工程量，总价为7.27万元。因2019年11月28日印发的《泉港区农村（社区）集体资金资产资源管理规定》规定项目总采购货物及购买服务金额在5万元以上50万元以下的，经村民会议或村民代表会议研究决定，报镇（街道）村集体会计代理核算中心和资源公共交易中心审核备案，必须进入镇（街道）村集体公共资源交易中心交易，由此拆分为两个项目建设，建完后同期验收。二是由镇党委、政府对项目经办人进行通报批评。后续会举一反三做好村级工程项目的前期规划准备工作，确保今后实施的工程项目不再出现类似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仿宋_GB2312" w:hAnsi="仿宋_GB2312" w:eastAsia="仿宋_GB2312" w:cs="仿宋_GB2312"/>
          <w:b/>
          <w:bCs/>
          <w:color w:val="000000"/>
          <w:w w:val="100"/>
          <w:sz w:val="32"/>
          <w:highlight w:val="none"/>
          <w:lang w:val="en-US" w:eastAsia="zh-CN"/>
        </w:rPr>
      </w:pP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val="en-US" w:eastAsia="zh-CN"/>
        </w:rPr>
        <w:t>2</w:t>
      </w: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bCs/>
          <w:color w:val="000000"/>
          <w:w w:val="100"/>
          <w:sz w:val="32"/>
          <w:highlight w:val="none"/>
          <w:lang w:val="en-US" w:eastAsia="zh-CN"/>
        </w:rPr>
        <w:t>针对工程项目招标、执行等环节不严格的问题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2019年昆山健身步道（壮志亭）广场提升工程招标当时建设公司不够规范，我村监督不够严格，确存在工程项目招标、执行等环节不严格的问题，由镇党委、政府对项目经办人进行通报批评。后续会严格按规范要求项目实行，确保今后实施的工程项目不再出现类似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仿宋_GB2312" w:hAnsi="仿宋_GB2312" w:eastAsia="仿宋_GB2312" w:cs="仿宋_GB2312"/>
          <w:b/>
          <w:bCs/>
          <w:color w:val="000000"/>
          <w:w w:val="100"/>
          <w:sz w:val="32"/>
          <w:highlight w:val="none"/>
          <w:lang w:val="en-US" w:eastAsia="zh-CN"/>
        </w:rPr>
      </w:pP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val="en-US" w:eastAsia="zh-CN"/>
        </w:rPr>
        <w:t>3</w:t>
      </w: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bCs/>
          <w:color w:val="000000"/>
          <w:w w:val="100"/>
          <w:sz w:val="32"/>
          <w:highlight w:val="none"/>
          <w:lang w:val="en-US" w:eastAsia="zh-CN"/>
        </w:rPr>
        <w:t>针对建设验收要素不全的问题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整改进展情况：验收表日期已补上。</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仿宋_GB2312" w:hAnsi="仿宋_GB2312" w:eastAsia="仿宋_GB2312" w:cs="仿宋_GB2312"/>
          <w:b/>
          <w:bCs/>
          <w:color w:val="000000"/>
          <w:w w:val="100"/>
          <w:sz w:val="32"/>
          <w:highlight w:val="none"/>
          <w:lang w:val="en-US" w:eastAsia="zh-CN"/>
        </w:rPr>
      </w:pP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val="en-US" w:eastAsia="zh-CN"/>
        </w:rPr>
        <w:t>4</w:t>
      </w: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bCs/>
          <w:color w:val="000000"/>
          <w:w w:val="100"/>
          <w:sz w:val="32"/>
          <w:highlight w:val="none"/>
          <w:lang w:val="en-US" w:eastAsia="zh-CN"/>
        </w:rPr>
        <w:t>针对工程项目履约金未缴纳的问题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整改进展情况：因工程项目当时工期较赶，施工方全垫资，把关不够规范，疏忽此事，造成未缴纳，后续项目会严格要求。</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楷体_GB2312" w:hAnsi="楷体" w:eastAsia="楷体_GB2312" w:cs="Times New Roman"/>
          <w:b/>
          <w:bCs w:val="0"/>
          <w:color w:val="000000"/>
          <w:w w:val="100"/>
          <w:sz w:val="32"/>
          <w:highlight w:val="none"/>
          <w:lang w:val="en-US" w:eastAsia="zh-CN"/>
        </w:rPr>
      </w:pPr>
      <w:r>
        <w:rPr>
          <w:rFonts w:hint="eastAsia" w:ascii="楷体_GB2312" w:hAnsi="楷体" w:eastAsia="楷体_GB2312" w:cs="Times New Roman"/>
          <w:b/>
          <w:bCs w:val="0"/>
          <w:color w:val="000000"/>
          <w:w w:val="100"/>
          <w:sz w:val="32"/>
          <w:highlight w:val="none"/>
          <w:lang w:val="en-US" w:eastAsia="zh-CN"/>
        </w:rPr>
        <w:t>5.关于工程项目的债权债务处置不规范的问题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整改进展情况：原承包方江苏恩泰照明科技有限公司已倒闭，后续会严格加强施工方各项工作手续，规避风险。</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楷体_GB2312" w:hAnsi="楷体" w:eastAsia="楷体_GB2312" w:cs="Times New Roman"/>
          <w:b/>
          <w:bCs w:val="0"/>
          <w:color w:val="000000"/>
          <w:w w:val="100"/>
          <w:sz w:val="32"/>
          <w:highlight w:val="none"/>
          <w:lang w:val="en-US" w:eastAsia="zh-CN"/>
        </w:rPr>
      </w:pPr>
      <w:r>
        <w:rPr>
          <w:rFonts w:hint="eastAsia" w:ascii="楷体_GB2312" w:hAnsi="楷体" w:eastAsia="楷体_GB2312" w:cs="Times New Roman"/>
          <w:b/>
          <w:bCs w:val="0"/>
          <w:color w:val="000000"/>
          <w:w w:val="100"/>
          <w:sz w:val="32"/>
          <w:highlight w:val="none"/>
          <w:lang w:val="en-US" w:eastAsia="zh-CN"/>
        </w:rPr>
        <w:t>6.关于工程招投标程序不规范、未及时缴纳履约保证金的问题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整改进展情况：要求招投标代理单位严格按照法律法规及有关程序做好招标工作。</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楷体_GB2312" w:hAnsi="楷体" w:eastAsia="楷体_GB2312" w:cs="Times New Roman"/>
          <w:b/>
          <w:bCs w:val="0"/>
          <w:color w:val="000000"/>
          <w:w w:val="100"/>
          <w:sz w:val="32"/>
          <w:highlight w:val="none"/>
          <w:lang w:val="en-US" w:eastAsia="zh-CN"/>
        </w:rPr>
      </w:pPr>
      <w:r>
        <w:rPr>
          <w:rFonts w:hint="eastAsia" w:ascii="楷体_GB2312" w:hAnsi="楷体" w:eastAsia="楷体_GB2312" w:cs="Times New Roman"/>
          <w:b/>
          <w:bCs w:val="0"/>
          <w:color w:val="000000"/>
          <w:w w:val="100"/>
          <w:sz w:val="32"/>
          <w:highlight w:val="none"/>
          <w:lang w:val="en-US" w:eastAsia="zh-CN"/>
        </w:rPr>
        <w:t>7.关于工程建设存在项目未合并发包、合同签订不规范的问题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一是2020年5月报销的昆山寺步道工程是壮志亭登山步道项目与昆山寺外地面工程是两个地方不同项目，壮志亭登山步道工程中标价3.9814万元，合同价3.9814万元，合同价与拨付款项相符。昆山寺外地面工程中标价是4.434万元，合同价4.434万元，最后拨付4.6279万元是按实际验收决算金额拨付。二是针对工程建设存在项目未合并发包、合同签订不规范的问题，由镇党委、政府对项目经办人进行通报批评。三是后续会举一反三做好村级工程项目的前期规划准备工作，确保今后实施的工程项目不再出现类似问题。</w:t>
      </w:r>
    </w:p>
    <w:p>
      <w:pPr>
        <w:pStyle w:val="4"/>
        <w:keepNext w:val="0"/>
        <w:keepLines w:val="0"/>
        <w:pageBreakBefore w:val="0"/>
        <w:widowControl w:val="0"/>
        <w:numPr>
          <w:ilvl w:val="0"/>
          <w:numId w:val="0"/>
        </w:numPr>
        <w:tabs>
          <w:tab w:val="left" w:pos="4800"/>
        </w:tabs>
        <w:kinsoku/>
        <w:wordWrap/>
        <w:overflowPunct/>
        <w:topLinePunct w:val="0"/>
        <w:autoSpaceDE/>
        <w:autoSpaceDN/>
        <w:bidi w:val="0"/>
        <w:adjustRightInd/>
        <w:snapToGrid/>
        <w:spacing w:after="0" w:line="570" w:lineRule="exact"/>
        <w:ind w:leftChars="0" w:firstLine="640" w:firstLineChars="200"/>
        <w:textAlignment w:val="auto"/>
        <w:rPr>
          <w:rFonts w:hint="eastAsia" w:ascii="宋体" w:hAnsi="宋体" w:eastAsia="宋体" w:cs="宋体"/>
          <w:color w:val="000000"/>
          <w:w w:val="100"/>
          <w:sz w:val="32"/>
          <w:szCs w:val="32"/>
          <w:highlight w:val="none"/>
          <w:lang w:val="en-US" w:eastAsia="zh-CN"/>
        </w:rPr>
      </w:pPr>
      <w:r>
        <w:rPr>
          <w:rFonts w:hint="eastAsia" w:ascii="宋体" w:hAnsi="宋体" w:cs="宋体"/>
          <w:color w:val="000000"/>
          <w:w w:val="100"/>
          <w:sz w:val="32"/>
          <w:szCs w:val="32"/>
          <w:highlight w:val="none"/>
          <w:lang w:val="en-US" w:eastAsia="zh-CN"/>
        </w:rPr>
        <w:t>（三）</w:t>
      </w:r>
      <w:r>
        <w:rPr>
          <w:rFonts w:hint="eastAsia" w:ascii="宋体" w:hAnsi="宋体" w:eastAsia="宋体" w:cs="宋体"/>
          <w:color w:val="000000"/>
          <w:w w:val="100"/>
          <w:sz w:val="32"/>
          <w:szCs w:val="32"/>
          <w:highlight w:val="none"/>
          <w:lang w:val="en-US" w:eastAsia="zh-CN"/>
        </w:rPr>
        <w:t>聚焦基层党组织领导班子和干部队伍建设方面</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楷体_GB2312" w:hAnsi="楷体" w:eastAsia="楷体_GB2312" w:cs="Times New Roman"/>
          <w:b/>
          <w:bCs w:val="0"/>
          <w:color w:val="000000"/>
          <w:w w:val="100"/>
          <w:sz w:val="32"/>
          <w:highlight w:val="none"/>
          <w:lang w:val="en-US" w:eastAsia="zh-CN"/>
        </w:rPr>
      </w:pPr>
      <w:r>
        <w:rPr>
          <w:rFonts w:hint="eastAsia" w:ascii="楷体_GB2312" w:hAnsi="楷体" w:eastAsia="楷体_GB2312" w:cs="Times New Roman"/>
          <w:b/>
          <w:bCs w:val="0"/>
          <w:color w:val="000000"/>
          <w:w w:val="100"/>
          <w:sz w:val="32"/>
          <w:highlight w:val="none"/>
          <w:lang w:val="en-US" w:eastAsia="zh-CN"/>
        </w:rPr>
        <w:t>1.关于执行民主决策不够到位的问题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2019年6月-2022年6月共支出26笔合计332万元在建工程款项未见村民代表大会研究记录，因每个在建工程在项目施工前都会召开村民代表大会研究工程预算金额，故后续拨款未再召开村民代表大会；与会人员赞同支持项目建设，但是记录人记录内容较为简单；2019年1月至4月未召开会议；2022年7月到9月系疫情特殊时期未召开集中会议，2023年起有开会议均有记录。</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eastAsia" w:ascii="楷体_GB2312" w:hAnsi="楷体" w:eastAsia="楷体_GB2312" w:cs="Times New Roman"/>
          <w:b/>
          <w:bCs w:val="0"/>
          <w:color w:val="000000"/>
          <w:w w:val="100"/>
          <w:sz w:val="32"/>
          <w:highlight w:val="none"/>
          <w:lang w:val="en-US" w:eastAsia="zh-CN"/>
        </w:rPr>
      </w:pPr>
      <w:r>
        <w:rPr>
          <w:rFonts w:hint="eastAsia" w:ascii="楷体_GB2312" w:hAnsi="楷体" w:eastAsia="楷体_GB2312" w:cs="Times New Roman"/>
          <w:b/>
          <w:bCs w:val="0"/>
          <w:color w:val="000000"/>
          <w:w w:val="100"/>
          <w:sz w:val="32"/>
          <w:highlight w:val="none"/>
          <w:lang w:val="en-US" w:eastAsia="zh-CN"/>
        </w:rPr>
        <w:t>2.关于党建工作开展不够扎实的问题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b/>
          <w:color w:val="000000"/>
          <w:highlight w:val="none"/>
        </w:rPr>
        <w:t>（1）</w:t>
      </w:r>
      <w:r>
        <w:rPr>
          <w:rFonts w:hint="eastAsia" w:ascii="仿宋_GB2312" w:hAnsi="仿宋_GB2312" w:eastAsia="仿宋_GB2312" w:cs="仿宋_GB2312"/>
          <w:b/>
          <w:color w:val="000000"/>
          <w:highlight w:val="none"/>
          <w:lang w:val="en-US" w:eastAsia="zh-CN"/>
        </w:rPr>
        <w:t>针对发展党员程序不够规范的问题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整改进展情况：朱某伟预备党员材料均有落实上缴，后期在发展党员工作中会按照程序严格规范开展，及时上报各项材料，现已提出转正并过会，材料已上报。</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仿宋_GB2312" w:hAnsi="仿宋_GB2312" w:eastAsia="仿宋_GB2312" w:cs="仿宋_GB2312"/>
          <w:b/>
          <w:color w:val="000000"/>
          <w:highlight w:val="none"/>
          <w:lang w:val="en-US" w:eastAsia="zh-CN"/>
        </w:rPr>
      </w:pP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val="en-US" w:eastAsia="zh-CN"/>
        </w:rPr>
        <w:t>2</w:t>
      </w: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val="en-US" w:eastAsia="zh-CN"/>
        </w:rPr>
        <w:t>针对党费收缴不够严谨的问题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整改进展情况：2020年7月预备党员陈某芬7-10月份、朱某伟2022年7-8月份党费已足额缴纳；周某妹2023年党费已足额缴纳；朱某兰已退休无工资，按农村党员最低标准缴纳已足额缴纳。</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楷体_GB2312" w:hAnsi="楷体" w:eastAsia="楷体_GB2312" w:cs="Times New Roman"/>
          <w:b/>
          <w:bCs w:val="0"/>
          <w:color w:val="000000"/>
          <w:w w:val="100"/>
          <w:sz w:val="32"/>
          <w:highlight w:val="none"/>
          <w:lang w:val="en-US" w:eastAsia="zh-CN"/>
        </w:rPr>
      </w:pPr>
      <w:r>
        <w:rPr>
          <w:rFonts w:hint="eastAsia" w:ascii="楷体_GB2312" w:hAnsi="楷体" w:eastAsia="楷体_GB2312" w:cs="Times New Roman"/>
          <w:b/>
          <w:bCs w:val="0"/>
          <w:color w:val="000000"/>
          <w:w w:val="100"/>
          <w:sz w:val="32"/>
          <w:highlight w:val="none"/>
          <w:lang w:val="en-US" w:eastAsia="zh-CN"/>
        </w:rPr>
        <w:t>3.关于党内政治生活不够严肃的问题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仿宋_GB2312" w:hAnsi="仿宋_GB2312" w:eastAsia="仿宋_GB2312" w:cs="仿宋_GB2312"/>
          <w:b/>
          <w:color w:val="000000"/>
          <w:highlight w:val="none"/>
          <w:lang w:val="en-US" w:eastAsia="zh-CN"/>
        </w:rPr>
      </w:pPr>
      <w:r>
        <w:rPr>
          <w:rFonts w:hint="eastAsia" w:ascii="仿宋_GB2312" w:hAnsi="仿宋_GB2312" w:eastAsia="仿宋_GB2312" w:cs="仿宋_GB2312"/>
          <w:b/>
          <w:color w:val="000000"/>
          <w:highlight w:val="none"/>
        </w:rPr>
        <w:t>（1）</w:t>
      </w:r>
      <w:r>
        <w:rPr>
          <w:rFonts w:hint="eastAsia" w:ascii="仿宋_GB2312" w:hAnsi="仿宋_GB2312" w:eastAsia="仿宋_GB2312" w:cs="仿宋_GB2312"/>
          <w:b/>
          <w:color w:val="000000"/>
          <w:highlight w:val="none"/>
          <w:lang w:val="en-US" w:eastAsia="zh-CN"/>
        </w:rPr>
        <w:t>针对“三会一课”制度落实不够到位的问题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整改进展情况：2019、2021年有召开党员大会有学习，因业务人员未及时记录。“三会一课”2019-2023年会议纪要均及时记录，未及时给相关人员签字，已让逐个签字。</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仿宋_GB2312" w:hAnsi="仿宋_GB2312" w:eastAsia="仿宋_GB2312" w:cs="仿宋_GB2312"/>
          <w:b/>
          <w:color w:val="000000"/>
          <w:highlight w:val="none"/>
          <w:lang w:val="en-US" w:eastAsia="zh-CN"/>
        </w:rPr>
      </w:pP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val="en-US" w:eastAsia="zh-CN"/>
        </w:rPr>
        <w:t>2</w:t>
      </w: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val="en-US" w:eastAsia="zh-CN"/>
        </w:rPr>
        <w:t>针对民主评议和党员“三诺”开展不扎实的问题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已及时对承诺工作台账的岗位承诺和实事承诺进行核实;对已经落实的承诺，按要求进行填写补充完整；已及时与党员进行沟通按月份填写完整；部分党员《民主评议登记表》自我总结存在雷同，分别是2022年度朱婷婷、程美珠、林冬梅党员问题，已及时通知部分党员对2022年度《民主评议登记表》自我总结进行纠正，并根据自己的表现写好个人总结。并对其提出进一步要求，需加强政治学习和提高自身修养，不断学习，把学习当成自己的终身事业，从理论上充实自己；2023年颜晶晶、朱旭民、朱奕祥、林冬梅、朱永明等5名党员《党员承诺书》承诺内容存在雷同问题，已通知到位，并及时对《党员承诺书》承诺内容进行核实纠正。</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仿宋_GB2312" w:hAnsi="仿宋_GB2312" w:eastAsia="仿宋_GB2312" w:cs="仿宋_GB2312"/>
          <w:b/>
          <w:color w:val="000000"/>
          <w:highlight w:val="none"/>
          <w:lang w:val="en-US" w:eastAsia="zh-CN"/>
        </w:rPr>
      </w:pP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val="en-US" w:eastAsia="zh-CN"/>
        </w:rPr>
        <w:t>3</w:t>
      </w:r>
      <w:r>
        <w:rPr>
          <w:rFonts w:hint="eastAsia" w:ascii="仿宋_GB2312" w:hAnsi="仿宋_GB2312" w:eastAsia="仿宋_GB2312" w:cs="仿宋_GB2312"/>
          <w:b/>
          <w:color w:val="000000"/>
          <w:highlight w:val="none"/>
        </w:rPr>
        <w:t>）</w:t>
      </w:r>
      <w:r>
        <w:rPr>
          <w:rFonts w:hint="eastAsia" w:ascii="仿宋_GB2312" w:hAnsi="仿宋_GB2312" w:eastAsia="仿宋_GB2312" w:cs="仿宋_GB2312"/>
          <w:b/>
          <w:color w:val="000000"/>
          <w:highlight w:val="none"/>
          <w:lang w:val="en-US" w:eastAsia="zh-CN"/>
        </w:rPr>
        <w:t>针对主题党日活动制度落实不到位的问题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整改进展情况：结合每月实际，开展不同主题党日活动。利用春节写春联，送祝福，为村民送上新春祝福，传递节日温情，为新春佳节增添了浓厚的喜庆氛围，累计送出春联100多份。</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寒冬送温暖，点滴关怀暖人心”主题党日活动，走访慰问困难群众和孤寡老人慰问活动，本次活动共入户排查困难对象100余人次，累计发放棉被30多条，叮嘱老人做好防寒保暖，注意用火用电安全，让他们真切感受到社会大家庭的温暖。</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firstLine="640"/>
        <w:jc w:val="left"/>
        <w:textAlignment w:val="auto"/>
        <w:rPr>
          <w:rFonts w:hint="eastAsia"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新春走军属，鼓声送祝福”主题党日活动，为军属和军烈属送去节日问候和崇高敬意，既体现了对军属的关心和尊重，拥军优属的优良传统，累计走访20多户。每年一次的乡贤座谈会为家乡建设铺路搭桥，参会人员100多人，为家乡发展增砖添瓦。等“一月一主题”主题党日活动，累计至今共开展16场，今后我村党总支将继续严格落实主题党日活动制度，深入贯彻有关部署要求，每月按以多种多样的形式开展主题党日活动，积极发动党员群众进行参加。</w:t>
      </w:r>
    </w:p>
    <w:p>
      <w:pPr>
        <w:numPr>
          <w:ilvl w:val="0"/>
          <w:numId w:val="0"/>
        </w:numPr>
        <w:spacing w:line="570" w:lineRule="exact"/>
        <w:ind w:firstLine="640" w:firstLineChars="200"/>
        <w:jc w:val="left"/>
        <w:rPr>
          <w:rFonts w:eastAsia="黑体"/>
          <w:color w:val="000000"/>
          <w:highlight w:val="none"/>
        </w:rPr>
      </w:pPr>
      <w:r>
        <w:rPr>
          <w:rFonts w:hint="eastAsia" w:eastAsia="黑体"/>
          <w:color w:val="000000"/>
          <w:kern w:val="2"/>
          <w:sz w:val="32"/>
          <w:szCs w:val="32"/>
          <w:highlight w:val="none"/>
          <w:lang w:val="en-US" w:eastAsia="zh-CN" w:bidi="ar-SA"/>
        </w:rPr>
        <w:t>三</w:t>
      </w:r>
      <w:r>
        <w:rPr>
          <w:rFonts w:hint="eastAsia" w:ascii="华文仿宋" w:hAnsi="华文仿宋" w:eastAsia="黑体"/>
          <w:color w:val="000000"/>
          <w:kern w:val="2"/>
          <w:sz w:val="32"/>
          <w:szCs w:val="32"/>
          <w:highlight w:val="none"/>
          <w:lang w:val="en-US" w:eastAsia="zh-CN" w:bidi="ar-SA"/>
        </w:rPr>
        <w:t>、</w:t>
      </w:r>
      <w:r>
        <w:rPr>
          <w:rFonts w:eastAsia="黑体"/>
          <w:color w:val="000000"/>
          <w:highlight w:val="none"/>
        </w:rPr>
        <w:t>需要进一步整改的事项及措施</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楷体_GB2312" w:hAnsi="楷体" w:eastAsia="楷体_GB2312" w:cs="Times New Roman"/>
          <w:b w:val="0"/>
          <w:bCs/>
          <w:color w:val="000000"/>
          <w:w w:val="100"/>
          <w:sz w:val="32"/>
          <w:highlight w:val="none"/>
          <w:lang w:val="en-US" w:eastAsia="zh-CN"/>
        </w:rPr>
      </w:pPr>
      <w:r>
        <w:rPr>
          <w:rFonts w:hint="eastAsia" w:ascii="楷体_GB2312" w:hAnsi="楷体" w:eastAsia="楷体_GB2312" w:cs="Times New Roman"/>
          <w:b w:val="0"/>
          <w:bCs/>
          <w:color w:val="000000"/>
          <w:w w:val="100"/>
          <w:sz w:val="32"/>
          <w:highlight w:val="none"/>
          <w:lang w:val="en-US" w:eastAsia="zh-CN"/>
        </w:rPr>
        <w:t>（一）关于村集体收入不到位的事项</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未完成整改原因：因租户承包营收微薄，经济困难，申请暂缓缴交。</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下一步整改措施：由村委会发出催缴书，要求租户按时缴交租金。</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整改时限：2024年7月30日</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楷体_GB2312" w:hAnsi="楷体" w:eastAsia="楷体_GB2312" w:cs="Times New Roman"/>
          <w:b w:val="0"/>
          <w:bCs/>
          <w:color w:val="000000"/>
          <w:w w:val="100"/>
          <w:sz w:val="32"/>
          <w:highlight w:val="none"/>
          <w:lang w:val="en-US" w:eastAsia="zh-CN"/>
        </w:rPr>
      </w:pPr>
      <w:r>
        <w:rPr>
          <w:rFonts w:hint="eastAsia" w:ascii="楷体_GB2312" w:hAnsi="楷体" w:eastAsia="楷体_GB2312" w:cs="Times New Roman"/>
          <w:b w:val="0"/>
          <w:bCs/>
          <w:color w:val="000000"/>
          <w:w w:val="100"/>
          <w:sz w:val="32"/>
          <w:highlight w:val="none"/>
          <w:lang w:val="en-US" w:eastAsia="zh-CN"/>
        </w:rPr>
        <w:t>（二）关于截止2023年8月9日，境外涉诈人员还有1人未劝返的事项</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未完成整改原因：经多次协调，多方动员涉诈人员未返回</w:t>
      </w:r>
    </w:p>
    <w:p>
      <w:pPr>
        <w:numPr>
          <w:ilvl w:val="0"/>
          <w:numId w:val="0"/>
        </w:numPr>
        <w:spacing w:line="570" w:lineRule="exact"/>
        <w:ind w:firstLine="640" w:firstLineChars="200"/>
        <w:jc w:val="left"/>
        <w:rPr>
          <w:rFonts w:hint="eastAsia"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下一步整改措施：村主干、村干部及网格员将继续入户与家属做劝返工作，争取在年底将其劝返。</w:t>
      </w:r>
    </w:p>
    <w:p>
      <w:pPr>
        <w:numPr>
          <w:ilvl w:val="0"/>
          <w:numId w:val="0"/>
        </w:numPr>
        <w:spacing w:line="570" w:lineRule="exact"/>
        <w:ind w:firstLine="640" w:firstLineChars="200"/>
        <w:jc w:val="left"/>
        <w:rPr>
          <w:rFonts w:hint="eastAsia"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整改时限：2024年12月31日</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楷体_GB2312" w:hAnsi="楷体" w:eastAsia="楷体_GB2312" w:cs="Times New Roman"/>
          <w:b w:val="0"/>
          <w:bCs/>
          <w:color w:val="000000"/>
          <w:w w:val="100"/>
          <w:sz w:val="32"/>
          <w:highlight w:val="none"/>
          <w:lang w:val="en-US" w:eastAsia="zh-CN"/>
        </w:rPr>
      </w:pPr>
      <w:r>
        <w:rPr>
          <w:rFonts w:hint="eastAsia" w:ascii="楷体_GB2312" w:hAnsi="楷体" w:eastAsia="楷体_GB2312" w:cs="Times New Roman"/>
          <w:b w:val="0"/>
          <w:bCs/>
          <w:color w:val="000000"/>
          <w:w w:val="100"/>
          <w:sz w:val="32"/>
          <w:highlight w:val="none"/>
          <w:lang w:val="en-US" w:eastAsia="zh-CN"/>
        </w:rPr>
        <w:t>（三）关于库存现金余额较大的事项</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未完成原因：截止2023年6月底库存现金余额54.27万元，其中白条抵库一是历年一事一议筹资酬劳354000元，二是</w:t>
      </w:r>
      <w:r>
        <w:rPr>
          <w:rFonts w:hint="eastAsia" w:ascii="仿宋_GB2312" w:hAnsi="仿宋_GB2312" w:eastAsia="仿宋_GB2312" w:cs="仿宋_GB2312"/>
          <w:color w:val="000000"/>
          <w:highlight w:val="none"/>
        </w:rPr>
        <w:t>白条抵库</w:t>
      </w:r>
      <w:r>
        <w:rPr>
          <w:rFonts w:hint="default" w:ascii="仿宋_GB2312" w:hAnsi="仿宋_GB2312" w:eastAsia="仿宋_GB2312" w:cs="仿宋_GB2312"/>
          <w:color w:val="000000"/>
          <w:kern w:val="2"/>
          <w:sz w:val="32"/>
          <w:szCs w:val="32"/>
          <w:highlight w:val="none"/>
          <w:lang w:eastAsia="zh-CN" w:bidi="ar-SA"/>
        </w:rPr>
        <w:t>部分账款</w:t>
      </w:r>
      <w:r>
        <w:rPr>
          <w:rFonts w:hint="eastAsia" w:ascii="仿宋_GB2312" w:hAnsi="仿宋_GB2312" w:eastAsia="仿宋_GB2312" w:cs="仿宋_GB2312"/>
          <w:color w:val="000000"/>
          <w:kern w:val="0"/>
          <w:highlight w:val="none"/>
          <w:lang w:val="en-US" w:eastAsia="zh-CN"/>
        </w:rPr>
        <w:t>为系社会抚养费借款，因国家计划生育政策变化，不再收取缴纳社会抚养费，收回社会抚养费历史欠账难度较大</w:t>
      </w:r>
      <w:r>
        <w:rPr>
          <w:rFonts w:hint="eastAsia" w:ascii="仿宋_GB2312" w:hAnsi="仿宋_GB2312" w:eastAsia="仿宋_GB2312" w:cs="仿宋_GB2312"/>
          <w:color w:val="000000"/>
          <w:w w:val="100"/>
          <w:sz w:val="32"/>
          <w:highlight w:val="none"/>
          <w:lang w:val="en-US" w:eastAsia="zh-CN"/>
        </w:rPr>
        <w:t>。</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下一步整改措施：由村级梳理各项金额，进行催缴到位。</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仿宋_GB2312" w:hAnsi="仿宋_GB2312" w:eastAsia="仿宋_GB2312" w:cs="仿宋_GB2312"/>
          <w:color w:val="000000"/>
          <w:w w:val="100"/>
          <w:sz w:val="32"/>
          <w:highlight w:val="none"/>
          <w:lang w:val="en-US" w:eastAsia="zh-CN"/>
        </w:rPr>
      </w:pPr>
      <w:r>
        <w:rPr>
          <w:rFonts w:hint="eastAsia" w:ascii="仿宋_GB2312" w:hAnsi="仿宋_GB2312" w:eastAsia="仿宋_GB2312" w:cs="仿宋_GB2312"/>
          <w:color w:val="000000"/>
          <w:w w:val="100"/>
          <w:sz w:val="32"/>
          <w:highlight w:val="none"/>
          <w:lang w:val="en-US" w:eastAsia="zh-CN"/>
        </w:rPr>
        <w:t>整改时限：2024年12月31日</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firstLine="640"/>
        <w:jc w:val="left"/>
        <w:textAlignment w:val="auto"/>
        <w:rPr>
          <w:rFonts w:hint="eastAsia" w:ascii="黑体" w:hAnsi="黑体" w:eastAsia="黑体"/>
          <w:color w:val="000000"/>
          <w:highlight w:val="none"/>
        </w:rPr>
      </w:pPr>
      <w:r>
        <w:rPr>
          <w:rFonts w:hint="eastAsia" w:ascii="仿宋_GB2312" w:hAnsi="仿宋_GB2312" w:eastAsia="仿宋_GB2312" w:cs="仿宋_GB2312"/>
          <w:color w:val="000000"/>
          <w:w w:val="100"/>
          <w:sz w:val="32"/>
          <w:highlight w:val="none"/>
          <w:lang w:val="en-US" w:eastAsia="zh-CN"/>
        </w:rPr>
        <w:t>经过一段时间的集中整改，</w:t>
      </w:r>
      <w:r>
        <w:rPr>
          <w:rFonts w:hint="eastAsia" w:ascii="仿宋_GB2312" w:hAnsi="仿宋_GB2312" w:eastAsia="仿宋_GB2312" w:cs="仿宋_GB2312"/>
          <w:color w:val="000000"/>
          <w:w w:val="100"/>
          <w:sz w:val="32"/>
          <w:highlight w:val="none"/>
        </w:rPr>
        <w:t>我</w:t>
      </w:r>
      <w:r>
        <w:rPr>
          <w:rFonts w:hint="eastAsia" w:ascii="仿宋_GB2312" w:hAnsi="仿宋_GB2312" w:eastAsia="仿宋_GB2312" w:cs="仿宋_GB2312"/>
          <w:color w:val="000000"/>
          <w:w w:val="100"/>
          <w:sz w:val="32"/>
          <w:highlight w:val="none"/>
          <w:lang w:val="en-US" w:eastAsia="zh-CN"/>
        </w:rPr>
        <w:t>村</w:t>
      </w:r>
      <w:r>
        <w:rPr>
          <w:rFonts w:hint="eastAsia" w:ascii="仿宋_GB2312" w:hAnsi="仿宋_GB2312" w:eastAsia="仿宋_GB2312" w:cs="仿宋_GB2312"/>
          <w:color w:val="000000"/>
          <w:w w:val="100"/>
          <w:sz w:val="32"/>
          <w:highlight w:val="none"/>
        </w:rPr>
        <w:t>将完善民主决策机制</w:t>
      </w:r>
      <w:r>
        <w:rPr>
          <w:rFonts w:hint="eastAsia" w:ascii="仿宋_GB2312" w:hAnsi="仿宋_GB2312" w:eastAsia="仿宋_GB2312" w:cs="仿宋_GB2312"/>
          <w:color w:val="000000"/>
          <w:w w:val="100"/>
          <w:sz w:val="32"/>
          <w:highlight w:val="none"/>
          <w:lang w:val="en-US" w:eastAsia="zh-CN"/>
        </w:rPr>
        <w:t>和</w:t>
      </w:r>
      <w:r>
        <w:rPr>
          <w:rFonts w:hint="eastAsia" w:ascii="仿宋_GB2312" w:hAnsi="仿宋_GB2312" w:eastAsia="仿宋_GB2312" w:cs="仿宋_GB2312"/>
          <w:color w:val="000000"/>
          <w:w w:val="100"/>
          <w:sz w:val="32"/>
          <w:highlight w:val="none"/>
        </w:rPr>
        <w:t>财务制度和流程，并加强对财务人员的培训和管理，</w:t>
      </w:r>
      <w:r>
        <w:rPr>
          <w:rFonts w:hint="eastAsia" w:ascii="仿宋_GB2312" w:hAnsi="仿宋_GB2312" w:eastAsia="仿宋_GB2312" w:cs="仿宋_GB2312"/>
          <w:color w:val="000000"/>
          <w:w w:val="100"/>
          <w:sz w:val="32"/>
          <w:highlight w:val="none"/>
          <w:lang w:val="en-US" w:eastAsia="zh-CN"/>
        </w:rPr>
        <w:t>严格按照上级有关法律法规及业务要求，强化对村级工程的管理、监督，确保全过程依法依规</w:t>
      </w:r>
      <w:r>
        <w:rPr>
          <w:rFonts w:hint="eastAsia" w:ascii="仿宋_GB2312" w:hAnsi="仿宋_GB2312" w:eastAsia="仿宋_GB2312" w:cs="仿宋_GB2312"/>
          <w:color w:val="000000"/>
          <w:w w:val="100"/>
          <w:sz w:val="32"/>
          <w:highlight w:val="none"/>
        </w:rPr>
        <w:t>。同时积极探索新的工作模式和方法，提高服务</w:t>
      </w:r>
      <w:r>
        <w:rPr>
          <w:rFonts w:hint="eastAsia" w:ascii="仿宋_GB2312" w:hAnsi="仿宋_GB2312" w:eastAsia="仿宋_GB2312" w:cs="仿宋_GB2312"/>
          <w:color w:val="000000"/>
          <w:w w:val="100"/>
          <w:sz w:val="32"/>
          <w:highlight w:val="none"/>
          <w:lang w:val="en-US" w:eastAsia="zh-CN"/>
        </w:rPr>
        <w:t>质效</w:t>
      </w:r>
      <w:r>
        <w:rPr>
          <w:rFonts w:hint="eastAsia" w:ascii="仿宋_GB2312" w:hAnsi="仿宋_GB2312" w:eastAsia="仿宋_GB2312" w:cs="仿宋_GB2312"/>
          <w:color w:val="000000"/>
          <w:w w:val="100"/>
          <w:sz w:val="32"/>
          <w:highlight w:val="none"/>
        </w:rPr>
        <w:t>，为乡村振兴提供有力保障。</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firstLine="640"/>
        <w:jc w:val="left"/>
        <w:textAlignment w:val="auto"/>
        <w:rPr>
          <w:rFonts w:hint="eastAsia" w:ascii="仿宋_GB2312" w:hAnsi="仿宋_GB2312" w:eastAsia="仿宋_GB2312" w:cs="仿宋_GB2312"/>
          <w:color w:val="000000"/>
          <w:w w:val="100"/>
          <w:sz w:val="32"/>
          <w:highlight w:val="none"/>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DC4A2"/>
    <w:multiLevelType w:val="singleLevel"/>
    <w:tmpl w:val="F5DDC4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17970"/>
    <w:rsid w:val="0581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380" w:firstLineChars="200"/>
      <w:jc w:val="both"/>
    </w:pPr>
    <w:rPr>
      <w:rFonts w:ascii="华文仿宋" w:hAnsi="华文仿宋" w:eastAsia="华文仿宋" w:cs="Times New Roman"/>
      <w:color w:val="000000"/>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首行缩进 21"/>
    <w:basedOn w:val="5"/>
    <w:qFormat/>
    <w:uiPriority w:val="0"/>
    <w:pPr>
      <w:ind w:firstLine="200" w:firstLineChars="200"/>
    </w:pPr>
    <w:rPr>
      <w:rFonts w:ascii="Times New Roman" w:hAnsi="Times New Roman" w:eastAsia="宋体" w:cs="Times New Roman"/>
      <w:sz w:val="21"/>
    </w:rPr>
  </w:style>
  <w:style w:type="paragraph" w:customStyle="1" w:styleId="5">
    <w:name w:val="正文文本缩进1"/>
    <w:basedOn w:val="1"/>
    <w:qFormat/>
    <w:uiPriority w:val="0"/>
    <w:pPr>
      <w:spacing w:after="120"/>
      <w:ind w:left="200" w:leftChars="20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2024-07-01T09:02:00Z</dcterms:created>
  <dc:creator>qzwb</dc:creator>
  <cp:lastModifiedBy>qzwb</cp:lastModifiedBy>
  <dcterms:modified xsi:type="dcterms:W3CDTF">2024-07-01T09:03:04Z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E4D0CF81806C44E18D6463C78AE12D28</vt:lpwstr>
  </property>
</Properties>
</file>